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4"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bfM1x1wAAAAgBAAAPAAAAAAAAAAEAIAAAACIAAABk&#10;cnMvZG93bnJldi54bWxQSwECFAAUAAAACACHTuJAYBctDAcCAAA4BAAADgAAAAAAAAABACAAAAAm&#10;AQAAZHJzL2Uyb0RvYy54bWxQSwUGAAAAAAYABgBZAQAAnwU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声场测听室采购</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项目编号：SZZZ2023-QA0060</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二〇二三年三月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smallCaps w:val="0"/>
          <w:color w:val="auto"/>
          <w:kern w:val="2"/>
          <w:sz w:val="21"/>
          <w:szCs w:val="24"/>
          <w:lang w:val="en-US"/>
        </w:rPr>
      </w:sdtEndPr>
      <w:sdtContent>
        <w:p>
          <w:pPr>
            <w:pStyle w:val="505"/>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38"/>
            </w:tabs>
            <w:spacing w:line="360" w:lineRule="atLeast"/>
            <w:rPr>
              <w:rFonts w:ascii="仿宋_GB2312" w:hAnsi="仿宋_GB2312" w:eastAsia="仿宋_GB2312" w:cs="仿宋_GB2312"/>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"_Toc1573" </w:instrText>
          </w:r>
          <w:r>
            <w:fldChar w:fldCharType="separate"/>
          </w:r>
          <w:r>
            <w:rPr>
              <w:rFonts w:hint="eastAsia" w:ascii="仿宋_GB2312" w:hAnsi="仿宋_GB2312" w:eastAsia="仿宋_GB2312" w:cs="仿宋_GB2312"/>
              <w:sz w:val="24"/>
            </w:rPr>
            <w:t>第一章  投标邀请</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_Toc1573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5</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34"/>
            <w:tabs>
              <w:tab w:val="right" w:leader="dot" w:pos="9638"/>
            </w:tabs>
            <w:spacing w:line="360" w:lineRule="atLeast"/>
            <w:rPr>
              <w:rFonts w:ascii="仿宋_GB2312" w:hAnsi="仿宋_GB2312" w:eastAsia="仿宋_GB2312" w:cs="仿宋_GB2312"/>
              <w:sz w:val="24"/>
            </w:rPr>
          </w:pPr>
          <w:r>
            <w:fldChar w:fldCharType="begin"/>
          </w:r>
          <w:r>
            <w:instrText xml:space="preserve"> HYPERLINK \l "_Toc19468" </w:instrText>
          </w:r>
          <w:r>
            <w:fldChar w:fldCharType="separate"/>
          </w:r>
          <w:r>
            <w:rPr>
              <w:rFonts w:hint="eastAsia" w:ascii="仿宋_GB2312" w:hAnsi="仿宋_GB2312" w:eastAsia="仿宋_GB2312" w:cs="仿宋_GB2312"/>
              <w:sz w:val="24"/>
            </w:rPr>
            <w:t>第二章  项目需求</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_Toc19468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9</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34"/>
            <w:tabs>
              <w:tab w:val="right" w:leader="dot" w:pos="9638"/>
            </w:tabs>
            <w:spacing w:line="360" w:lineRule="atLeast"/>
            <w:rPr>
              <w:rFonts w:ascii="仿宋_GB2312" w:hAnsi="仿宋_GB2312" w:eastAsia="仿宋_GB2312" w:cs="仿宋_GB2312"/>
              <w:sz w:val="24"/>
            </w:rPr>
          </w:pPr>
          <w:r>
            <w:fldChar w:fldCharType="begin"/>
          </w:r>
          <w:r>
            <w:instrText xml:space="preserve"> HYPERLINK \l "_Toc29936" </w:instrText>
          </w:r>
          <w:r>
            <w:fldChar w:fldCharType="separate"/>
          </w:r>
          <w:r>
            <w:rPr>
              <w:rFonts w:hint="eastAsia" w:ascii="仿宋_GB2312" w:hAnsi="仿宋_GB2312" w:eastAsia="仿宋_GB2312" w:cs="仿宋_GB2312"/>
              <w:sz w:val="24"/>
            </w:rPr>
            <w:t>第三章  投标文件初审</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_Toc29936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14</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34"/>
            <w:tabs>
              <w:tab w:val="right" w:leader="dot" w:pos="9638"/>
            </w:tabs>
            <w:spacing w:line="360" w:lineRule="atLeast"/>
            <w:rPr>
              <w:rFonts w:ascii="仿宋_GB2312" w:hAnsi="仿宋_GB2312" w:eastAsia="仿宋_GB2312" w:cs="仿宋_GB2312"/>
              <w:sz w:val="24"/>
            </w:rPr>
          </w:pPr>
          <w:r>
            <w:fldChar w:fldCharType="begin"/>
          </w:r>
          <w:r>
            <w:instrText xml:space="preserve"> HYPERLINK \l "_Toc7853" </w:instrText>
          </w:r>
          <w:r>
            <w:fldChar w:fldCharType="separate"/>
          </w:r>
          <w:r>
            <w:rPr>
              <w:rFonts w:hint="eastAsia" w:ascii="仿宋_GB2312" w:hAnsi="仿宋_GB2312" w:eastAsia="仿宋_GB2312" w:cs="仿宋_GB2312"/>
              <w:sz w:val="24"/>
            </w:rPr>
            <w:t>第四章  评标方法和标准</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_Toc7853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15</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41"/>
            <w:tabs>
              <w:tab w:val="right" w:leader="dot" w:pos="9638"/>
            </w:tabs>
            <w:spacing w:line="360" w:lineRule="atLeast"/>
            <w:rPr>
              <w:rFonts w:ascii="仿宋_GB2312" w:hAnsi="仿宋_GB2312" w:eastAsia="仿宋_GB2312" w:cs="仿宋_GB2312"/>
              <w:sz w:val="24"/>
            </w:rPr>
          </w:pPr>
          <w:r>
            <w:fldChar w:fldCharType="begin"/>
          </w:r>
          <w:r>
            <w:instrText xml:space="preserve"> HYPERLINK \l "_Toc14249" </w:instrText>
          </w:r>
          <w:r>
            <w:fldChar w:fldCharType="separate"/>
          </w:r>
          <w:r>
            <w:rPr>
              <w:rFonts w:hint="eastAsia" w:ascii="仿宋_GB2312" w:hAnsi="仿宋_GB2312" w:eastAsia="仿宋_GB2312" w:cs="仿宋_GB2312"/>
              <w:sz w:val="24"/>
            </w:rPr>
            <w:t>一、评标方法</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_Toc14249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15</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41"/>
            <w:tabs>
              <w:tab w:val="right" w:leader="dot" w:pos="9638"/>
            </w:tabs>
            <w:spacing w:line="360" w:lineRule="atLeast"/>
            <w:rPr>
              <w:rFonts w:ascii="仿宋_GB2312" w:hAnsi="仿宋_GB2312" w:eastAsia="仿宋_GB2312" w:cs="仿宋_GB2312"/>
              <w:sz w:val="24"/>
            </w:rPr>
          </w:pPr>
          <w:r>
            <w:fldChar w:fldCharType="begin"/>
          </w:r>
          <w:r>
            <w:instrText xml:space="preserve"> HYPERLINK \l "_Toc24528" </w:instrText>
          </w:r>
          <w:r>
            <w:fldChar w:fldCharType="separate"/>
          </w:r>
          <w:r>
            <w:rPr>
              <w:rFonts w:hint="eastAsia" w:ascii="仿宋_GB2312" w:hAnsi="仿宋_GB2312" w:eastAsia="仿宋_GB2312" w:cs="仿宋_GB2312"/>
              <w:sz w:val="24"/>
            </w:rPr>
            <w:t>二、评标标准</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_Toc24528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15</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41"/>
            <w:tabs>
              <w:tab w:val="right" w:leader="dot" w:pos="9638"/>
            </w:tabs>
            <w:spacing w:line="360" w:lineRule="atLeast"/>
            <w:rPr>
              <w:rFonts w:ascii="仿宋_GB2312" w:hAnsi="仿宋_GB2312" w:eastAsia="仿宋_GB2312" w:cs="仿宋_GB2312"/>
              <w:sz w:val="24"/>
            </w:rPr>
          </w:pPr>
          <w:r>
            <w:fldChar w:fldCharType="begin"/>
          </w:r>
          <w:r>
            <w:instrText xml:space="preserve"> HYPERLINK \l "_Toc11512" </w:instrText>
          </w:r>
          <w:r>
            <w:fldChar w:fldCharType="separate"/>
          </w:r>
          <w:r>
            <w:rPr>
              <w:rFonts w:hint="eastAsia" w:ascii="仿宋_GB2312" w:hAnsi="仿宋_GB2312" w:eastAsia="仿宋_GB2312" w:cs="仿宋_GB2312"/>
              <w:sz w:val="24"/>
            </w:rPr>
            <w:t>备注：</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_Toc11512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19</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25"/>
            <w:tabs>
              <w:tab w:val="right" w:leader="dot" w:pos="9638"/>
            </w:tabs>
            <w:spacing w:line="360" w:lineRule="atLeast"/>
            <w:rPr>
              <w:rFonts w:ascii="仿宋_GB2312" w:hAnsi="仿宋_GB2312" w:eastAsia="仿宋_GB2312" w:cs="仿宋_GB2312"/>
              <w:sz w:val="24"/>
            </w:rPr>
          </w:pPr>
          <w:r>
            <w:fldChar w:fldCharType="begin"/>
          </w:r>
          <w:r>
            <w:instrText xml:space="preserve"> HYPERLINK \l "_Toc22485" </w:instrText>
          </w:r>
          <w:r>
            <w:fldChar w:fldCharType="separate"/>
          </w:r>
          <w:r>
            <w:rPr>
              <w:rFonts w:hint="eastAsia" w:ascii="仿宋_GB2312" w:hAnsi="仿宋_GB2312" w:eastAsia="仿宋_GB2312" w:cs="仿宋_GB2312"/>
              <w:sz w:val="24"/>
            </w:rPr>
            <w:t>1、资质证书有效期</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_Toc22485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19</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25"/>
            <w:tabs>
              <w:tab w:val="right" w:leader="dot" w:pos="9638"/>
            </w:tabs>
            <w:spacing w:line="360" w:lineRule="atLeast"/>
            <w:rPr>
              <w:rFonts w:ascii="仿宋_GB2312" w:hAnsi="仿宋_GB2312" w:eastAsia="仿宋_GB2312" w:cs="仿宋_GB2312"/>
              <w:sz w:val="24"/>
            </w:rPr>
          </w:pPr>
          <w:r>
            <w:fldChar w:fldCharType="begin"/>
          </w:r>
          <w:r>
            <w:instrText xml:space="preserve"> HYPERLINK \l "_Toc14006" </w:instrText>
          </w:r>
          <w:r>
            <w:fldChar w:fldCharType="separate"/>
          </w:r>
          <w:r>
            <w:rPr>
              <w:rFonts w:hint="eastAsia" w:ascii="仿宋_GB2312" w:hAnsi="仿宋_GB2312" w:eastAsia="仿宋_GB2312" w:cs="仿宋_GB2312"/>
              <w:sz w:val="24"/>
            </w:rPr>
            <w:t>2、政府采购扶持政策</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_Toc14006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19</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34"/>
            <w:tabs>
              <w:tab w:val="right" w:leader="dot" w:pos="9638"/>
            </w:tabs>
            <w:spacing w:line="360" w:lineRule="atLeast"/>
            <w:rPr>
              <w:rFonts w:ascii="仿宋_GB2312" w:hAnsi="仿宋_GB2312" w:eastAsia="仿宋_GB2312" w:cs="仿宋_GB2312"/>
              <w:sz w:val="24"/>
            </w:rPr>
          </w:pPr>
          <w:r>
            <w:fldChar w:fldCharType="begin"/>
          </w:r>
          <w:r>
            <w:instrText xml:space="preserve"> HYPERLINK \l "_Toc30812" </w:instrText>
          </w:r>
          <w:r>
            <w:fldChar w:fldCharType="separate"/>
          </w:r>
          <w:r>
            <w:rPr>
              <w:rFonts w:hint="eastAsia" w:ascii="仿宋_GB2312" w:hAnsi="仿宋_GB2312" w:eastAsia="仿宋_GB2312" w:cs="仿宋_GB2312"/>
              <w:sz w:val="24"/>
            </w:rPr>
            <w:t>第五章  投标人须知前附表</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_Toc30812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21</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34"/>
            <w:tabs>
              <w:tab w:val="right" w:leader="dot" w:pos="9638"/>
            </w:tabs>
            <w:spacing w:line="360" w:lineRule="atLeast"/>
            <w:rPr>
              <w:rFonts w:ascii="仿宋_GB2312" w:hAnsi="仿宋_GB2312" w:eastAsia="仿宋_GB2312" w:cs="仿宋_GB2312"/>
              <w:sz w:val="24"/>
            </w:rPr>
          </w:pPr>
          <w:r>
            <w:fldChar w:fldCharType="begin"/>
          </w:r>
          <w:r>
            <w:instrText xml:space="preserve"> HYPERLINK \l "_Toc25212" </w:instrText>
          </w:r>
          <w:r>
            <w:fldChar w:fldCharType="separate"/>
          </w:r>
          <w:r>
            <w:rPr>
              <w:rFonts w:hint="eastAsia" w:ascii="仿宋_GB2312" w:hAnsi="仿宋_GB2312" w:eastAsia="仿宋_GB2312" w:cs="仿宋_GB2312"/>
              <w:sz w:val="24"/>
            </w:rPr>
            <w:t>第六章  投标人须知</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_Toc25212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22</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41"/>
            <w:tabs>
              <w:tab w:val="right" w:leader="dot" w:pos="9638"/>
            </w:tabs>
            <w:spacing w:line="360" w:lineRule="atLeast"/>
            <w:rPr>
              <w:rFonts w:ascii="仿宋_GB2312" w:hAnsi="仿宋_GB2312" w:eastAsia="仿宋_GB2312" w:cs="仿宋_GB2312"/>
              <w:sz w:val="24"/>
            </w:rPr>
          </w:pPr>
          <w:r>
            <w:fldChar w:fldCharType="begin"/>
          </w:r>
          <w:r>
            <w:instrText xml:space="preserve"> HYPERLINK \l "_Toc30995" </w:instrText>
          </w:r>
          <w:r>
            <w:fldChar w:fldCharType="separate"/>
          </w:r>
          <w:r>
            <w:rPr>
              <w:rFonts w:hint="eastAsia" w:ascii="仿宋_GB2312" w:hAnsi="仿宋_GB2312" w:eastAsia="仿宋_GB2312" w:cs="仿宋_GB2312"/>
              <w:sz w:val="24"/>
            </w:rPr>
            <w:t>一、说  明</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_Toc30995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22</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41"/>
            <w:tabs>
              <w:tab w:val="right" w:leader="dot" w:pos="9638"/>
            </w:tabs>
            <w:spacing w:line="360" w:lineRule="atLeast"/>
            <w:rPr>
              <w:rFonts w:ascii="仿宋_GB2312" w:hAnsi="仿宋_GB2312" w:eastAsia="仿宋_GB2312" w:cs="仿宋_GB2312"/>
              <w:sz w:val="24"/>
            </w:rPr>
          </w:pPr>
          <w:r>
            <w:fldChar w:fldCharType="begin"/>
          </w:r>
          <w:r>
            <w:instrText xml:space="preserve"> HYPERLINK \l "_Toc20440" </w:instrText>
          </w:r>
          <w:r>
            <w:fldChar w:fldCharType="separate"/>
          </w:r>
          <w:r>
            <w:rPr>
              <w:rFonts w:hint="eastAsia" w:ascii="仿宋_GB2312" w:hAnsi="仿宋_GB2312" w:eastAsia="仿宋_GB2312" w:cs="仿宋_GB2312"/>
              <w:sz w:val="24"/>
            </w:rPr>
            <w:t>二、招标文件说明</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_Toc20440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24</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41"/>
            <w:tabs>
              <w:tab w:val="right" w:leader="dot" w:pos="9638"/>
            </w:tabs>
            <w:spacing w:line="360" w:lineRule="atLeast"/>
            <w:rPr>
              <w:rFonts w:ascii="仿宋_GB2312" w:hAnsi="仿宋_GB2312" w:eastAsia="仿宋_GB2312" w:cs="仿宋_GB2312"/>
              <w:sz w:val="24"/>
            </w:rPr>
          </w:pPr>
          <w:r>
            <w:fldChar w:fldCharType="begin"/>
          </w:r>
          <w:r>
            <w:instrText xml:space="preserve"> HYPERLINK \l "_Toc28574" </w:instrText>
          </w:r>
          <w:r>
            <w:fldChar w:fldCharType="separate"/>
          </w:r>
          <w:r>
            <w:rPr>
              <w:rFonts w:hint="eastAsia" w:ascii="仿宋_GB2312" w:hAnsi="仿宋_GB2312" w:eastAsia="仿宋_GB2312" w:cs="仿宋_GB2312"/>
              <w:sz w:val="24"/>
            </w:rPr>
            <w:t>三、投标文件的编写</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_Toc28574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25</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41"/>
            <w:tabs>
              <w:tab w:val="right" w:leader="dot" w:pos="9638"/>
            </w:tabs>
            <w:spacing w:line="360" w:lineRule="atLeast"/>
            <w:rPr>
              <w:rFonts w:ascii="仿宋_GB2312" w:hAnsi="仿宋_GB2312" w:eastAsia="仿宋_GB2312" w:cs="仿宋_GB2312"/>
              <w:sz w:val="24"/>
            </w:rPr>
          </w:pPr>
          <w:r>
            <w:fldChar w:fldCharType="begin"/>
          </w:r>
          <w:r>
            <w:instrText xml:space="preserve"> HYPERLINK \l "_Toc2301" </w:instrText>
          </w:r>
          <w:r>
            <w:fldChar w:fldCharType="separate"/>
          </w:r>
          <w:r>
            <w:rPr>
              <w:rFonts w:hint="eastAsia" w:ascii="仿宋_GB2312" w:hAnsi="仿宋_GB2312" w:eastAsia="仿宋_GB2312" w:cs="仿宋_GB2312"/>
              <w:sz w:val="24"/>
            </w:rPr>
            <w:t>四、投标文件的递交</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_Toc2301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28</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41"/>
            <w:tabs>
              <w:tab w:val="right" w:leader="dot" w:pos="9638"/>
            </w:tabs>
            <w:spacing w:line="360" w:lineRule="atLeast"/>
            <w:rPr>
              <w:rFonts w:ascii="仿宋_GB2312" w:hAnsi="仿宋_GB2312" w:eastAsia="仿宋_GB2312" w:cs="仿宋_GB2312"/>
              <w:sz w:val="24"/>
            </w:rPr>
          </w:pPr>
          <w:r>
            <w:fldChar w:fldCharType="begin"/>
          </w:r>
          <w:r>
            <w:instrText xml:space="preserve"> HYPERLINK \l "_Toc25593" </w:instrText>
          </w:r>
          <w:r>
            <w:fldChar w:fldCharType="separate"/>
          </w:r>
          <w:r>
            <w:rPr>
              <w:rFonts w:hint="eastAsia" w:ascii="仿宋_GB2312" w:hAnsi="仿宋_GB2312" w:eastAsia="仿宋_GB2312" w:cs="仿宋_GB2312"/>
              <w:sz w:val="24"/>
            </w:rPr>
            <w:t>五、开标和评标</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_Toc25593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29</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41"/>
            <w:tabs>
              <w:tab w:val="right" w:leader="dot" w:pos="9638"/>
            </w:tabs>
            <w:spacing w:line="360" w:lineRule="atLeast"/>
            <w:rPr>
              <w:rFonts w:ascii="仿宋_GB2312" w:hAnsi="仿宋_GB2312" w:eastAsia="仿宋_GB2312" w:cs="仿宋_GB2312"/>
              <w:sz w:val="24"/>
            </w:rPr>
          </w:pPr>
          <w:r>
            <w:fldChar w:fldCharType="begin"/>
          </w:r>
          <w:r>
            <w:instrText xml:space="preserve"> HYPERLINK \l "_Toc27180" </w:instrText>
          </w:r>
          <w:r>
            <w:fldChar w:fldCharType="separate"/>
          </w:r>
          <w:r>
            <w:rPr>
              <w:rFonts w:hint="eastAsia" w:ascii="仿宋_GB2312" w:hAnsi="仿宋_GB2312" w:eastAsia="仿宋_GB2312" w:cs="仿宋_GB2312"/>
              <w:sz w:val="24"/>
            </w:rPr>
            <w:t>六、授予合同</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_Toc27180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31</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41"/>
            <w:tabs>
              <w:tab w:val="right" w:leader="dot" w:pos="9638"/>
            </w:tabs>
            <w:spacing w:line="360" w:lineRule="atLeast"/>
            <w:rPr>
              <w:rFonts w:ascii="仿宋_GB2312" w:hAnsi="仿宋_GB2312" w:eastAsia="仿宋_GB2312" w:cs="仿宋_GB2312"/>
              <w:sz w:val="24"/>
            </w:rPr>
          </w:pPr>
          <w:r>
            <w:fldChar w:fldCharType="begin"/>
          </w:r>
          <w:r>
            <w:instrText xml:space="preserve"> HYPERLINK \l "_Toc11470" </w:instrText>
          </w:r>
          <w:r>
            <w:fldChar w:fldCharType="separate"/>
          </w:r>
          <w:r>
            <w:rPr>
              <w:rFonts w:hint="eastAsia" w:ascii="仿宋_GB2312" w:hAnsi="仿宋_GB2312" w:eastAsia="仿宋_GB2312" w:cs="仿宋_GB2312"/>
              <w:sz w:val="24"/>
            </w:rPr>
            <w:t>七、质疑处理</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_Toc11470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33</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34"/>
            <w:tabs>
              <w:tab w:val="right" w:leader="dot" w:pos="9638"/>
            </w:tabs>
            <w:spacing w:line="360" w:lineRule="atLeast"/>
            <w:rPr>
              <w:rFonts w:ascii="仿宋_GB2312" w:hAnsi="仿宋_GB2312" w:eastAsia="仿宋_GB2312" w:cs="仿宋_GB2312"/>
              <w:sz w:val="24"/>
            </w:rPr>
          </w:pPr>
          <w:r>
            <w:fldChar w:fldCharType="begin"/>
          </w:r>
          <w:r>
            <w:instrText xml:space="preserve"> HYPERLINK \l "_Toc21799" </w:instrText>
          </w:r>
          <w:r>
            <w:fldChar w:fldCharType="separate"/>
          </w:r>
          <w:r>
            <w:rPr>
              <w:rFonts w:hint="eastAsia" w:ascii="仿宋_GB2312" w:hAnsi="仿宋_GB2312" w:eastAsia="仿宋_GB2312" w:cs="仿宋_GB2312"/>
              <w:sz w:val="24"/>
            </w:rPr>
            <w:t>第七章  投标文件格式</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_Toc21799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35</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41"/>
            <w:tabs>
              <w:tab w:val="right" w:leader="dot" w:pos="9638"/>
            </w:tabs>
            <w:spacing w:line="360" w:lineRule="atLeast"/>
            <w:rPr>
              <w:rFonts w:ascii="仿宋_GB2312" w:hAnsi="仿宋_GB2312" w:eastAsia="仿宋_GB2312" w:cs="仿宋_GB2312"/>
              <w:sz w:val="24"/>
            </w:rPr>
          </w:pPr>
          <w:r>
            <w:fldChar w:fldCharType="begin"/>
          </w:r>
          <w:r>
            <w:instrText xml:space="preserve"> HYPERLINK \l "_Toc31631" </w:instrText>
          </w:r>
          <w:r>
            <w:fldChar w:fldCharType="separate"/>
          </w:r>
          <w:r>
            <w:rPr>
              <w:rFonts w:hint="eastAsia" w:ascii="仿宋_GB2312" w:hAnsi="仿宋_GB2312" w:eastAsia="仿宋_GB2312" w:cs="仿宋_GB2312"/>
              <w:sz w:val="24"/>
            </w:rPr>
            <w:t>投标文件编制说明</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_Toc31631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35</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41"/>
            <w:tabs>
              <w:tab w:val="right" w:leader="dot" w:pos="9638"/>
            </w:tabs>
            <w:spacing w:line="360" w:lineRule="atLeast"/>
            <w:rPr>
              <w:rFonts w:ascii="仿宋_GB2312" w:hAnsi="仿宋_GB2312" w:eastAsia="仿宋_GB2312" w:cs="仿宋_GB2312"/>
              <w:sz w:val="24"/>
            </w:rPr>
          </w:pPr>
          <w:r>
            <w:fldChar w:fldCharType="begin"/>
          </w:r>
          <w:r>
            <w:instrText xml:space="preserve"> HYPERLINK \l "_Toc6504" </w:instrText>
          </w:r>
          <w:r>
            <w:fldChar w:fldCharType="separate"/>
          </w:r>
          <w:r>
            <w:rPr>
              <w:rFonts w:hint="eastAsia" w:ascii="仿宋_GB2312" w:hAnsi="仿宋_GB2312" w:eastAsia="仿宋_GB2312" w:cs="仿宋_GB2312"/>
              <w:sz w:val="24"/>
            </w:rPr>
            <w:t>投标文件格式</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_Toc6504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37</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41"/>
            <w:tabs>
              <w:tab w:val="right" w:leader="dot" w:pos="9638"/>
            </w:tabs>
            <w:spacing w:line="360" w:lineRule="atLeast"/>
            <w:rPr>
              <w:rFonts w:ascii="仿宋_GB2312" w:hAnsi="仿宋_GB2312" w:eastAsia="仿宋_GB2312" w:cs="仿宋_GB2312"/>
              <w:sz w:val="24"/>
            </w:rPr>
          </w:pPr>
          <w:r>
            <w:fldChar w:fldCharType="begin"/>
          </w:r>
          <w:r>
            <w:instrText xml:space="preserve"> HYPERLINK \l "_Toc32347" </w:instrText>
          </w:r>
          <w:r>
            <w:fldChar w:fldCharType="separate"/>
          </w:r>
          <w:r>
            <w:rPr>
              <w:rFonts w:hint="eastAsia" w:ascii="仿宋_GB2312" w:hAnsi="仿宋_GB2312" w:eastAsia="仿宋_GB2312" w:cs="仿宋_GB2312"/>
              <w:sz w:val="24"/>
            </w:rPr>
            <w:t>政府采购违法行为风险知悉确认书</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_Toc32347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38</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41"/>
            <w:tabs>
              <w:tab w:val="right" w:leader="dot" w:pos="9638"/>
            </w:tabs>
            <w:spacing w:line="360" w:lineRule="atLeast"/>
            <w:rPr>
              <w:rFonts w:ascii="仿宋_GB2312" w:hAnsi="仿宋_GB2312" w:eastAsia="仿宋_GB2312" w:cs="仿宋_GB2312"/>
              <w:sz w:val="24"/>
            </w:rPr>
          </w:pPr>
          <w:r>
            <w:fldChar w:fldCharType="begin"/>
          </w:r>
          <w:r>
            <w:instrText xml:space="preserve"> HYPERLINK \l "_Toc32506" </w:instrText>
          </w:r>
          <w:r>
            <w:fldChar w:fldCharType="separate"/>
          </w:r>
          <w:r>
            <w:rPr>
              <w:rFonts w:hint="eastAsia" w:ascii="仿宋_GB2312" w:hAnsi="仿宋_GB2312" w:eastAsia="仿宋_GB2312" w:cs="仿宋_GB2312"/>
              <w:sz w:val="24"/>
            </w:rPr>
            <w:t>评标指引表</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_Toc32506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40</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34"/>
            <w:tabs>
              <w:tab w:val="right" w:leader="dot" w:pos="9638"/>
            </w:tabs>
            <w:spacing w:line="360" w:lineRule="atLeast"/>
            <w:rPr>
              <w:rFonts w:ascii="仿宋_GB2312" w:hAnsi="仿宋_GB2312" w:eastAsia="仿宋_GB2312" w:cs="仿宋_GB2312"/>
              <w:sz w:val="24"/>
            </w:rPr>
          </w:pPr>
          <w:r>
            <w:fldChar w:fldCharType="begin"/>
          </w:r>
          <w:r>
            <w:instrText xml:space="preserve"> HYPERLINK \l "_Toc28139" </w:instrText>
          </w:r>
          <w:r>
            <w:fldChar w:fldCharType="separate"/>
          </w:r>
          <w:r>
            <w:rPr>
              <w:rFonts w:hint="eastAsia" w:ascii="仿宋_GB2312" w:hAnsi="仿宋_GB2312" w:eastAsia="仿宋_GB2312" w:cs="仿宋_GB2312"/>
              <w:sz w:val="24"/>
            </w:rPr>
            <w:t>第八章  合同条款</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_Toc28139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61</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34"/>
            <w:tabs>
              <w:tab w:val="right" w:leader="dot" w:pos="9638"/>
            </w:tabs>
            <w:spacing w:line="360" w:lineRule="atLeast"/>
            <w:rPr>
              <w:rFonts w:ascii="仿宋_GB2312" w:hAnsi="仿宋_GB2312" w:eastAsia="仿宋_GB2312" w:cs="仿宋_GB2312"/>
              <w:sz w:val="24"/>
            </w:rPr>
          </w:pPr>
          <w:r>
            <w:fldChar w:fldCharType="begin"/>
          </w:r>
          <w:r>
            <w:instrText xml:space="preserve"> HYPERLINK \l "_Toc4381" </w:instrText>
          </w:r>
          <w:r>
            <w:fldChar w:fldCharType="separate"/>
          </w:r>
          <w:r>
            <w:rPr>
              <w:rFonts w:hint="eastAsia" w:ascii="仿宋_GB2312" w:hAnsi="仿宋_GB2312" w:eastAsia="仿宋_GB2312" w:cs="仿宋_GB2312"/>
              <w:sz w:val="24"/>
            </w:rPr>
            <w:t>第九章  附件</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_Toc4381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65</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25"/>
            <w:tabs>
              <w:tab w:val="right" w:leader="dot" w:pos="9638"/>
            </w:tabs>
            <w:spacing w:line="360" w:lineRule="atLeast"/>
            <w:rPr>
              <w:rFonts w:ascii="仿宋_GB2312" w:hAnsi="仿宋_GB2312" w:eastAsia="仿宋_GB2312" w:cs="仿宋_GB2312"/>
              <w:sz w:val="24"/>
            </w:rPr>
          </w:pPr>
          <w:r>
            <w:fldChar w:fldCharType="begin"/>
          </w:r>
          <w:r>
            <w:instrText xml:space="preserve"> HYPERLINK \l "_Toc20517" </w:instrText>
          </w:r>
          <w:r>
            <w:fldChar w:fldCharType="separate"/>
          </w:r>
          <w:r>
            <w:rPr>
              <w:rFonts w:hint="eastAsia" w:ascii="仿宋_GB2312" w:hAnsi="仿宋_GB2312" w:eastAsia="仿宋_GB2312" w:cs="仿宋_GB2312"/>
              <w:bCs/>
              <w:kern w:val="0"/>
              <w:sz w:val="24"/>
            </w:rPr>
            <w:t>一、财政部 工业和信息化部关于印发《政府采购促进中小企业发展管理办法》的通知</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_Toc20517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65</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25"/>
            <w:tabs>
              <w:tab w:val="right" w:leader="dot" w:pos="9638"/>
            </w:tabs>
            <w:spacing w:line="360" w:lineRule="atLeast"/>
            <w:rPr>
              <w:rFonts w:ascii="仿宋_GB2312" w:hAnsi="仿宋_GB2312" w:eastAsia="仿宋_GB2312" w:cs="仿宋_GB2312"/>
              <w:sz w:val="24"/>
            </w:rPr>
          </w:pPr>
          <w:r>
            <w:fldChar w:fldCharType="begin"/>
          </w:r>
          <w:r>
            <w:instrText xml:space="preserve"> HYPERLINK \l "_Toc28455" </w:instrText>
          </w:r>
          <w:r>
            <w:fldChar w:fldCharType="separate"/>
          </w:r>
          <w:r>
            <w:rPr>
              <w:rFonts w:hint="eastAsia" w:ascii="仿宋_GB2312" w:hAnsi="仿宋_GB2312" w:eastAsia="仿宋_GB2312" w:cs="仿宋_GB2312"/>
              <w:bCs/>
              <w:kern w:val="0"/>
              <w:sz w:val="24"/>
            </w:rPr>
            <w:t>二、关于印发中小企业划型标准规定的通知</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_Toc28455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69</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25"/>
            <w:tabs>
              <w:tab w:val="right" w:leader="dot" w:pos="9638"/>
            </w:tabs>
            <w:spacing w:line="360" w:lineRule="atLeast"/>
            <w:rPr>
              <w:rFonts w:ascii="仿宋_GB2312" w:hAnsi="仿宋_GB2312" w:eastAsia="仿宋_GB2312" w:cs="仿宋_GB2312"/>
              <w:sz w:val="24"/>
            </w:rPr>
          </w:pPr>
          <w:r>
            <w:fldChar w:fldCharType="begin"/>
          </w:r>
          <w:r>
            <w:instrText xml:space="preserve"> HYPERLINK \l "_Toc15362" </w:instrText>
          </w:r>
          <w:r>
            <w:fldChar w:fldCharType="separate"/>
          </w:r>
          <w:r>
            <w:rPr>
              <w:rFonts w:hint="eastAsia" w:ascii="仿宋_GB2312" w:hAnsi="仿宋_GB2312" w:eastAsia="仿宋_GB2312" w:cs="仿宋_GB2312"/>
              <w:kern w:val="0"/>
              <w:sz w:val="24"/>
            </w:rPr>
            <w:t>三、国家统计局关于印发《统计上大中小微型企业划分办法 （2017）》的通知 </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_Toc15362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72</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25"/>
            <w:tabs>
              <w:tab w:val="right" w:leader="dot" w:pos="9638"/>
            </w:tabs>
            <w:spacing w:line="360" w:lineRule="atLeast"/>
            <w:rPr>
              <w:rFonts w:ascii="仿宋_GB2312" w:hAnsi="仿宋_GB2312" w:eastAsia="仿宋_GB2312" w:cs="仿宋_GB2312"/>
              <w:sz w:val="24"/>
            </w:rPr>
          </w:pPr>
          <w:r>
            <w:fldChar w:fldCharType="begin"/>
          </w:r>
          <w:r>
            <w:instrText xml:space="preserve"> HYPERLINK \l "_Toc23865" </w:instrText>
          </w:r>
          <w:r>
            <w:fldChar w:fldCharType="separate"/>
          </w:r>
          <w:r>
            <w:rPr>
              <w:rFonts w:hint="eastAsia" w:ascii="仿宋_GB2312" w:hAnsi="仿宋_GB2312" w:eastAsia="仿宋_GB2312" w:cs="仿宋_GB2312"/>
              <w:bCs/>
              <w:kern w:val="0"/>
              <w:sz w:val="24"/>
            </w:rPr>
            <w:t>四、财政部 民政部 中国残疾人联合会关于促进残疾人就业 政府采购政策的通知</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_Toc23865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75</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25"/>
            <w:tabs>
              <w:tab w:val="right" w:leader="dot" w:pos="9638"/>
            </w:tabs>
            <w:spacing w:line="360" w:lineRule="atLeast"/>
          </w:pPr>
          <w:r>
            <w:fldChar w:fldCharType="begin"/>
          </w:r>
          <w:r>
            <w:instrText xml:space="preserve"> HYPERLINK \l "_Toc4588" </w:instrText>
          </w:r>
          <w:r>
            <w:fldChar w:fldCharType="separate"/>
          </w:r>
          <w:r>
            <w:rPr>
              <w:rFonts w:hint="eastAsia" w:ascii="仿宋_GB2312" w:hAnsi="仿宋_GB2312" w:eastAsia="仿宋_GB2312" w:cs="仿宋_GB2312"/>
              <w:bCs/>
              <w:kern w:val="0"/>
              <w:sz w:val="24"/>
            </w:rPr>
            <w:t>五、财政部 司法部关于政府采购支持监狱企业发展有关问题的通知</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_Toc4588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77</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r>
            <w:rPr>
              <w:rFonts w:hint="eastAsia" w:ascii="仿宋_GB2312" w:eastAsia="仿宋_GB2312"/>
            </w:rPr>
            <w:fldChar w:fldCharType="end"/>
          </w:r>
        </w:p>
      </w:sdtContent>
    </w:sdt>
    <w:p>
      <w:pPr>
        <w:pStyle w:val="41"/>
        <w:tabs>
          <w:tab w:val="right" w:leader="dot" w:pos="9628"/>
        </w:tabs>
        <w:spacing w:line="360" w:lineRule="exact"/>
      </w:pPr>
    </w:p>
    <w:p>
      <w:pPr>
        <w:pStyle w:val="3"/>
      </w:pPr>
      <w:bookmarkStart w:id="0" w:name="_Toc1573"/>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声场测听室采购</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2023年</w:t>
      </w:r>
      <w:r>
        <w:rPr>
          <w:rFonts w:hint="eastAsia" w:ascii="宋体" w:hAnsi="宋体" w:cs="Arial Unicode MS"/>
          <w:snapToGrid w:val="0"/>
          <w:kern w:val="0"/>
          <w:szCs w:val="21"/>
          <w:u w:val="single"/>
          <w:lang w:val="en-US" w:eastAsia="zh-CN"/>
        </w:rPr>
        <w:t>04</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03</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SZZZ2023-QA0060</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2、项目名称：声场测听室采购</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28 </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28 </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5"/>
              <w:spacing w:line="360" w:lineRule="auto"/>
              <w:jc w:val="center"/>
              <w:rPr>
                <w:sz w:val="21"/>
              </w:rPr>
            </w:pPr>
            <w:r>
              <w:rPr>
                <w:sz w:val="21"/>
              </w:rPr>
              <w:t>标的名称</w:t>
            </w:r>
          </w:p>
        </w:tc>
        <w:tc>
          <w:tcPr>
            <w:tcW w:w="850"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声场测听室采购</w:t>
            </w:r>
          </w:p>
        </w:tc>
        <w:tc>
          <w:tcPr>
            <w:tcW w:w="850"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85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套</w:t>
            </w:r>
          </w:p>
        </w:tc>
        <w:tc>
          <w:tcPr>
            <w:tcW w:w="297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4"/>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4"/>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4"/>
        <w:widowControl w:val="0"/>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4"/>
        <w:widowControl w:val="0"/>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4"/>
        <w:widowControl w:val="0"/>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4"/>
        <w:widowControl w:val="0"/>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4"/>
        <w:widowControl w:val="0"/>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4"/>
        <w:widowControl w:val="0"/>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单位负责人为同一人或者存在直接控股、管理关系的不同供应商，不得参加同一合同项下的政府采购活动，投标人须提供国家企业信用信息公示系统（https://www.gsxt.gov.cn/index.html）或机关赋码和事业单位登记管理网（http://www.gjsy.gov.cn/sydwfrxxcx/）或全国社会组织信用信息公示平台（https://xxgs.chinanpo.mca.gov.cn/gsxt/newList）网站供应商信息查询截图，并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（6）本项目不接受联合体投标，不允许非法分包或转包；</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03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22</w:t>
      </w:r>
      <w:r>
        <w:rPr>
          <w:rFonts w:hint="eastAsia" w:ascii="宋体" w:hAnsi="宋体" w:eastAsia="宋体"/>
          <w:snapToGrid w:val="0"/>
          <w:color w:val="auto"/>
          <w:sz w:val="21"/>
          <w:szCs w:val="21"/>
          <w:u w:val="single"/>
        </w:rPr>
        <w:t>日至2023年</w:t>
      </w:r>
      <w:r>
        <w:rPr>
          <w:rFonts w:hint="eastAsia" w:ascii="宋体" w:hAnsi="宋体" w:eastAsia="宋体"/>
          <w:snapToGrid w:val="0"/>
          <w:color w:val="auto"/>
          <w:sz w:val="21"/>
          <w:szCs w:val="21"/>
          <w:u w:val="single"/>
          <w:lang w:val="en-US" w:eastAsia="zh-CN"/>
        </w:rPr>
        <w:t>03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29</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03</w:t>
      </w:r>
      <w:r>
        <w:rPr>
          <w:rFonts w:hint="eastAsia" w:ascii="宋体" w:hAnsi="宋体" w:eastAsia="宋体"/>
          <w:snapToGrid w:val="0"/>
          <w:color w:val="auto"/>
          <w:sz w:val="21"/>
          <w:szCs w:val="21"/>
          <w:u w:val="single"/>
        </w:rPr>
        <w:t>日14点30分（北京时间）</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4"/>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4"/>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名称：深圳市第三人民医院</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地址：深圳市龙岗区布澜路</w:t>
      </w:r>
      <w:r>
        <w:rPr>
          <w:rFonts w:ascii="宋体" w:hAnsi="宋体" w:eastAsia="宋体"/>
          <w:snapToGrid w:val="0"/>
          <w:color w:val="auto"/>
          <w:sz w:val="21"/>
          <w:szCs w:val="21"/>
        </w:rPr>
        <w:t>29</w:t>
      </w:r>
      <w:r>
        <w:rPr>
          <w:rFonts w:hint="eastAsia" w:ascii="宋体" w:hAnsi="宋体" w:eastAsia="宋体"/>
          <w:snapToGrid w:val="0"/>
          <w:color w:val="auto"/>
          <w:sz w:val="21"/>
          <w:szCs w:val="21"/>
        </w:rPr>
        <w:t>号深圳市第三人民医院</w:t>
      </w:r>
    </w:p>
    <w:p>
      <w:pPr>
        <w:pStyle w:val="454"/>
        <w:adjustRightInd w:val="0"/>
        <w:snapToGrid w:val="0"/>
        <w:spacing w:before="0" w:beforeAutospacing="0" w:after="0" w:afterAutospacing="0" w:line="360" w:lineRule="auto"/>
        <w:ind w:left="359" w:leftChars="171" w:firstLine="65" w:firstLineChars="31"/>
        <w:rPr>
          <w:rFonts w:hint="default" w:ascii="宋体" w:hAnsi="宋体" w:eastAsia="Arial Unicode MS"/>
          <w:snapToGrid w:val="0"/>
          <w:color w:val="auto"/>
          <w:sz w:val="21"/>
          <w:szCs w:val="21"/>
          <w:lang w:val="en-US" w:eastAsia="zh-CN"/>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eastAsia="zh-CN"/>
        </w:rPr>
        <w:t>李工</w:t>
      </w:r>
      <w:r>
        <w:rPr>
          <w:rFonts w:hint="eastAsia" w:ascii="宋体" w:hAnsi="宋体" w:eastAsia="宋体"/>
          <w:snapToGrid w:val="0"/>
          <w:color w:val="auto"/>
          <w:sz w:val="21"/>
          <w:szCs w:val="21"/>
          <w:lang w:val="en-US" w:eastAsia="zh-CN"/>
        </w:rPr>
        <w:t>,0755-61222333-6669</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eastAsiaTheme="minorEastAsia"/>
          <w:b/>
          <w:kern w:val="44"/>
          <w:szCs w:val="21"/>
        </w:rPr>
      </w:pPr>
      <w:r>
        <w:rPr>
          <w:rFonts w:ascii="宋体" w:hAnsi="宋体"/>
          <w:snapToGrid w:val="0"/>
          <w:kern w:val="0"/>
          <w:sz w:val="24"/>
        </w:rPr>
        <w:t>2023年</w:t>
      </w:r>
      <w:r>
        <w:rPr>
          <w:rFonts w:hint="eastAsia" w:ascii="宋体" w:hAnsi="宋体"/>
          <w:snapToGrid w:val="0"/>
          <w:kern w:val="0"/>
          <w:sz w:val="24"/>
          <w:lang w:val="en-US" w:eastAsia="zh-CN"/>
        </w:rPr>
        <w:t>03</w:t>
      </w:r>
      <w:r>
        <w:rPr>
          <w:rFonts w:ascii="宋体" w:hAnsi="宋体"/>
          <w:snapToGrid w:val="0"/>
          <w:kern w:val="0"/>
          <w:sz w:val="24"/>
        </w:rPr>
        <w:t>月</w:t>
      </w:r>
      <w:r>
        <w:rPr>
          <w:rFonts w:hint="eastAsia" w:ascii="宋体" w:hAnsi="宋体"/>
          <w:snapToGrid w:val="0"/>
          <w:kern w:val="0"/>
          <w:sz w:val="24"/>
          <w:lang w:val="en-US" w:eastAsia="zh-CN"/>
        </w:rPr>
        <w:t>22</w:t>
      </w:r>
      <w:r>
        <w:rPr>
          <w:rFonts w:hint="eastAsia" w:ascii="宋体" w:hAnsi="宋体"/>
          <w:snapToGrid w:val="0"/>
          <w:kern w:val="0"/>
          <w:sz w:val="24"/>
        </w:rPr>
        <w:t>日</w:t>
      </w:r>
      <w:r>
        <w:rPr>
          <w:szCs w:val="21"/>
        </w:rPr>
        <w:br w:type="page"/>
      </w:r>
    </w:p>
    <w:p>
      <w:pPr>
        <w:pStyle w:val="3"/>
        <w:spacing w:line="240" w:lineRule="auto"/>
        <w:rPr>
          <w:sz w:val="21"/>
          <w:szCs w:val="21"/>
        </w:rPr>
      </w:pPr>
    </w:p>
    <w:p>
      <w:pPr>
        <w:pStyle w:val="3"/>
      </w:pPr>
      <w:bookmarkStart w:id="1" w:name="_Toc19468"/>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6、加注▲的条款为重要条款要求，如不满足将按照第四章“评标标准”进行扣分。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7、加注★的条款为不可负偏离条款，任一项未响应或不满足要求的，将导致投标无效。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标的名称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声场测听</w:t>
            </w:r>
            <w:bookmarkStart w:id="101" w:name="_GoBack"/>
            <w:bookmarkEnd w:id="101"/>
            <w:r>
              <w:rPr>
                <w:rFonts w:hint="eastAsia" w:ascii="宋体" w:hAnsi="宋体" w:cs="宋体"/>
                <w:kern w:val="0"/>
                <w:szCs w:val="21"/>
              </w:rPr>
              <w:t>室采购</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280,000.00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8972" w:type="dxa"/>
        <w:jc w:val="center"/>
        <w:tblLayout w:type="fixed"/>
        <w:tblCellMar>
          <w:top w:w="0" w:type="dxa"/>
          <w:left w:w="0" w:type="dxa"/>
          <w:bottom w:w="0" w:type="dxa"/>
          <w:right w:w="0" w:type="dxa"/>
        </w:tblCellMar>
      </w:tblPr>
      <w:tblGrid>
        <w:gridCol w:w="846"/>
        <w:gridCol w:w="4005"/>
        <w:gridCol w:w="2100"/>
        <w:gridCol w:w="2021"/>
      </w:tblGrid>
      <w:tr>
        <w:tblPrEx>
          <w:tblCellMar>
            <w:top w:w="0" w:type="dxa"/>
            <w:left w:w="0" w:type="dxa"/>
            <w:bottom w:w="0" w:type="dxa"/>
            <w:right w:w="0"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
                <w:snapToGrid w:val="0"/>
                <w:kern w:val="0"/>
                <w:szCs w:val="21"/>
              </w:rPr>
            </w:pPr>
            <w:r>
              <w:rPr>
                <w:rFonts w:hint="eastAsia" w:ascii="宋体" w:hAnsi="宋体"/>
                <w:b/>
                <w:snapToGrid w:val="0"/>
                <w:kern w:val="0"/>
                <w:szCs w:val="21"/>
              </w:rPr>
              <w:t>序号</w:t>
            </w:r>
          </w:p>
        </w:tc>
        <w:tc>
          <w:tcPr>
            <w:tcW w:w="400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
                <w:snapToGrid w:val="0"/>
                <w:kern w:val="0"/>
                <w:szCs w:val="21"/>
              </w:rPr>
            </w:pPr>
            <w:r>
              <w:rPr>
                <w:rFonts w:hint="eastAsia" w:ascii="宋体" w:hAnsi="宋体"/>
                <w:b/>
                <w:snapToGrid w:val="0"/>
                <w:kern w:val="0"/>
                <w:szCs w:val="21"/>
              </w:rPr>
              <w:t>项目名称</w:t>
            </w:r>
          </w:p>
        </w:tc>
        <w:tc>
          <w:tcPr>
            <w:tcW w:w="210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
                <w:snapToGrid w:val="0"/>
                <w:kern w:val="0"/>
                <w:szCs w:val="21"/>
              </w:rPr>
            </w:pPr>
            <w:r>
              <w:rPr>
                <w:rFonts w:hint="eastAsia" w:ascii="宋体" w:hAnsi="宋体"/>
                <w:b/>
                <w:snapToGrid w:val="0"/>
                <w:kern w:val="0"/>
                <w:szCs w:val="21"/>
              </w:rPr>
              <w:t>单位</w:t>
            </w:r>
          </w:p>
        </w:tc>
        <w:tc>
          <w:tcPr>
            <w:tcW w:w="2021"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
                <w:snapToGrid w:val="0"/>
                <w:kern w:val="0"/>
                <w:szCs w:val="21"/>
              </w:rPr>
            </w:pPr>
            <w:r>
              <w:rPr>
                <w:rFonts w:hint="eastAsia" w:ascii="宋体" w:hAnsi="宋体"/>
                <w:b/>
                <w:snapToGrid w:val="0"/>
                <w:kern w:val="0"/>
                <w:szCs w:val="21"/>
              </w:rPr>
              <w:t>数量</w:t>
            </w:r>
          </w:p>
        </w:tc>
      </w:tr>
      <w:tr>
        <w:tblPrEx>
          <w:tblCellMar>
            <w:top w:w="0" w:type="dxa"/>
            <w:left w:w="0" w:type="dxa"/>
            <w:bottom w:w="0" w:type="dxa"/>
            <w:right w:w="0" w:type="dxa"/>
          </w:tblCellMar>
        </w:tblPrEx>
        <w:trPr>
          <w:cantSplit/>
          <w:trHeight w:val="23" w:hRule="atLeast"/>
          <w:jc w:val="center"/>
        </w:trPr>
        <w:tc>
          <w:tcPr>
            <w:tcW w:w="84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w:t>
            </w:r>
          </w:p>
        </w:tc>
        <w:tc>
          <w:tcPr>
            <w:tcW w:w="400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测听室主体</w:t>
            </w:r>
          </w:p>
        </w:tc>
        <w:tc>
          <w:tcPr>
            <w:tcW w:w="210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套</w:t>
            </w:r>
          </w:p>
        </w:tc>
        <w:tc>
          <w:tcPr>
            <w:tcW w:w="202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w:t>
            </w:r>
          </w:p>
        </w:tc>
      </w:tr>
      <w:tr>
        <w:tblPrEx>
          <w:tblCellMar>
            <w:top w:w="0" w:type="dxa"/>
            <w:left w:w="0" w:type="dxa"/>
            <w:bottom w:w="0" w:type="dxa"/>
            <w:right w:w="0" w:type="dxa"/>
          </w:tblCellMar>
        </w:tblPrEx>
        <w:trPr>
          <w:cantSplit/>
          <w:trHeight w:val="23" w:hRule="atLeast"/>
          <w:jc w:val="center"/>
        </w:trPr>
        <w:tc>
          <w:tcPr>
            <w:tcW w:w="84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2</w:t>
            </w:r>
          </w:p>
        </w:tc>
        <w:tc>
          <w:tcPr>
            <w:tcW w:w="400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测听室外观隔音板</w:t>
            </w:r>
          </w:p>
        </w:tc>
        <w:tc>
          <w:tcPr>
            <w:tcW w:w="2100"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项</w:t>
            </w:r>
          </w:p>
        </w:tc>
        <w:tc>
          <w:tcPr>
            <w:tcW w:w="202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w:t>
            </w:r>
          </w:p>
        </w:tc>
      </w:tr>
      <w:tr>
        <w:tblPrEx>
          <w:tblCellMar>
            <w:top w:w="0" w:type="dxa"/>
            <w:left w:w="0" w:type="dxa"/>
            <w:bottom w:w="0" w:type="dxa"/>
            <w:right w:w="0" w:type="dxa"/>
          </w:tblCellMar>
        </w:tblPrEx>
        <w:trPr>
          <w:cantSplit/>
          <w:trHeight w:val="23" w:hRule="atLeast"/>
          <w:jc w:val="center"/>
        </w:trPr>
        <w:tc>
          <w:tcPr>
            <w:tcW w:w="84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3</w:t>
            </w:r>
          </w:p>
        </w:tc>
        <w:tc>
          <w:tcPr>
            <w:tcW w:w="400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测听室内吸音处理</w:t>
            </w:r>
          </w:p>
        </w:tc>
        <w:tc>
          <w:tcPr>
            <w:tcW w:w="210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项</w:t>
            </w:r>
          </w:p>
        </w:tc>
        <w:tc>
          <w:tcPr>
            <w:tcW w:w="202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w:t>
            </w:r>
          </w:p>
        </w:tc>
      </w:tr>
      <w:tr>
        <w:tblPrEx>
          <w:tblCellMar>
            <w:top w:w="0" w:type="dxa"/>
            <w:left w:w="0" w:type="dxa"/>
            <w:bottom w:w="0" w:type="dxa"/>
            <w:right w:w="0" w:type="dxa"/>
          </w:tblCellMar>
        </w:tblPrEx>
        <w:trPr>
          <w:cantSplit/>
          <w:trHeight w:val="23" w:hRule="atLeast"/>
          <w:jc w:val="center"/>
        </w:trPr>
        <w:tc>
          <w:tcPr>
            <w:tcW w:w="84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4</w:t>
            </w:r>
          </w:p>
        </w:tc>
        <w:tc>
          <w:tcPr>
            <w:tcW w:w="400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隔振器</w:t>
            </w:r>
          </w:p>
        </w:tc>
        <w:tc>
          <w:tcPr>
            <w:tcW w:w="210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套</w:t>
            </w:r>
          </w:p>
        </w:tc>
        <w:tc>
          <w:tcPr>
            <w:tcW w:w="202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w:t>
            </w:r>
          </w:p>
        </w:tc>
      </w:tr>
      <w:tr>
        <w:tblPrEx>
          <w:tblCellMar>
            <w:top w:w="0" w:type="dxa"/>
            <w:left w:w="0" w:type="dxa"/>
            <w:bottom w:w="0" w:type="dxa"/>
            <w:right w:w="0" w:type="dxa"/>
          </w:tblCellMar>
        </w:tblPrEx>
        <w:trPr>
          <w:cantSplit/>
          <w:trHeight w:val="23" w:hRule="atLeast"/>
          <w:jc w:val="center"/>
        </w:trPr>
        <w:tc>
          <w:tcPr>
            <w:tcW w:w="84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5</w:t>
            </w:r>
          </w:p>
        </w:tc>
        <w:tc>
          <w:tcPr>
            <w:tcW w:w="400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双层隔声窗</w:t>
            </w:r>
          </w:p>
        </w:tc>
        <w:tc>
          <w:tcPr>
            <w:tcW w:w="210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套</w:t>
            </w:r>
          </w:p>
        </w:tc>
        <w:tc>
          <w:tcPr>
            <w:tcW w:w="202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w:t>
            </w:r>
          </w:p>
        </w:tc>
      </w:tr>
      <w:tr>
        <w:tblPrEx>
          <w:tblCellMar>
            <w:top w:w="0" w:type="dxa"/>
            <w:left w:w="0" w:type="dxa"/>
            <w:bottom w:w="0" w:type="dxa"/>
            <w:right w:w="0" w:type="dxa"/>
          </w:tblCellMar>
        </w:tblPrEx>
        <w:trPr>
          <w:cantSplit/>
          <w:trHeight w:val="23" w:hRule="atLeast"/>
          <w:jc w:val="center"/>
        </w:trPr>
        <w:tc>
          <w:tcPr>
            <w:tcW w:w="84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6</w:t>
            </w:r>
          </w:p>
        </w:tc>
        <w:tc>
          <w:tcPr>
            <w:tcW w:w="400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隔声门</w:t>
            </w:r>
          </w:p>
        </w:tc>
        <w:tc>
          <w:tcPr>
            <w:tcW w:w="210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扇</w:t>
            </w:r>
          </w:p>
        </w:tc>
        <w:tc>
          <w:tcPr>
            <w:tcW w:w="202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2</w:t>
            </w:r>
          </w:p>
        </w:tc>
      </w:tr>
      <w:tr>
        <w:tblPrEx>
          <w:tblCellMar>
            <w:top w:w="0" w:type="dxa"/>
            <w:left w:w="0" w:type="dxa"/>
            <w:bottom w:w="0" w:type="dxa"/>
            <w:right w:w="0" w:type="dxa"/>
          </w:tblCellMar>
        </w:tblPrEx>
        <w:trPr>
          <w:cantSplit/>
          <w:trHeight w:val="23" w:hRule="atLeast"/>
          <w:jc w:val="center"/>
        </w:trPr>
        <w:tc>
          <w:tcPr>
            <w:tcW w:w="84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7</w:t>
            </w:r>
          </w:p>
        </w:tc>
        <w:tc>
          <w:tcPr>
            <w:tcW w:w="400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进气消声器</w:t>
            </w:r>
          </w:p>
        </w:tc>
        <w:tc>
          <w:tcPr>
            <w:tcW w:w="210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件</w:t>
            </w:r>
          </w:p>
        </w:tc>
        <w:tc>
          <w:tcPr>
            <w:tcW w:w="202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w:t>
            </w:r>
          </w:p>
        </w:tc>
      </w:tr>
      <w:tr>
        <w:tblPrEx>
          <w:tblCellMar>
            <w:top w:w="0" w:type="dxa"/>
            <w:left w:w="0" w:type="dxa"/>
            <w:bottom w:w="0" w:type="dxa"/>
            <w:right w:w="0" w:type="dxa"/>
          </w:tblCellMar>
        </w:tblPrEx>
        <w:trPr>
          <w:cantSplit/>
          <w:trHeight w:val="23" w:hRule="atLeast"/>
          <w:jc w:val="center"/>
        </w:trPr>
        <w:tc>
          <w:tcPr>
            <w:tcW w:w="84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8</w:t>
            </w:r>
          </w:p>
        </w:tc>
        <w:tc>
          <w:tcPr>
            <w:tcW w:w="400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排气消声器</w:t>
            </w:r>
          </w:p>
        </w:tc>
        <w:tc>
          <w:tcPr>
            <w:tcW w:w="210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件</w:t>
            </w:r>
          </w:p>
        </w:tc>
        <w:tc>
          <w:tcPr>
            <w:tcW w:w="202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w:t>
            </w:r>
          </w:p>
        </w:tc>
      </w:tr>
      <w:tr>
        <w:tblPrEx>
          <w:tblCellMar>
            <w:top w:w="0" w:type="dxa"/>
            <w:left w:w="0" w:type="dxa"/>
            <w:bottom w:w="0" w:type="dxa"/>
            <w:right w:w="0" w:type="dxa"/>
          </w:tblCellMar>
        </w:tblPrEx>
        <w:trPr>
          <w:cantSplit/>
          <w:trHeight w:val="23" w:hRule="atLeast"/>
          <w:jc w:val="center"/>
        </w:trPr>
        <w:tc>
          <w:tcPr>
            <w:tcW w:w="84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9</w:t>
            </w:r>
          </w:p>
        </w:tc>
        <w:tc>
          <w:tcPr>
            <w:tcW w:w="400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地面</w:t>
            </w:r>
          </w:p>
        </w:tc>
        <w:tc>
          <w:tcPr>
            <w:tcW w:w="210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项</w:t>
            </w:r>
          </w:p>
        </w:tc>
        <w:tc>
          <w:tcPr>
            <w:tcW w:w="202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w:t>
            </w:r>
          </w:p>
        </w:tc>
      </w:tr>
      <w:tr>
        <w:tblPrEx>
          <w:tblCellMar>
            <w:top w:w="0" w:type="dxa"/>
            <w:left w:w="0" w:type="dxa"/>
            <w:bottom w:w="0" w:type="dxa"/>
            <w:right w:w="0" w:type="dxa"/>
          </w:tblCellMar>
        </w:tblPrEx>
        <w:trPr>
          <w:cantSplit/>
          <w:trHeight w:val="23" w:hRule="atLeast"/>
          <w:jc w:val="center"/>
        </w:trPr>
        <w:tc>
          <w:tcPr>
            <w:tcW w:w="84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10</w:t>
            </w:r>
          </w:p>
        </w:tc>
        <w:tc>
          <w:tcPr>
            <w:tcW w:w="400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非标准开口</w:t>
            </w:r>
          </w:p>
        </w:tc>
        <w:tc>
          <w:tcPr>
            <w:tcW w:w="210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个</w:t>
            </w:r>
          </w:p>
        </w:tc>
        <w:tc>
          <w:tcPr>
            <w:tcW w:w="202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w:t>
            </w:r>
          </w:p>
        </w:tc>
      </w:tr>
      <w:tr>
        <w:tblPrEx>
          <w:tblCellMar>
            <w:top w:w="0" w:type="dxa"/>
            <w:left w:w="0" w:type="dxa"/>
            <w:bottom w:w="0" w:type="dxa"/>
            <w:right w:w="0" w:type="dxa"/>
          </w:tblCellMar>
        </w:tblPrEx>
        <w:trPr>
          <w:cantSplit/>
          <w:trHeight w:val="23" w:hRule="atLeast"/>
          <w:jc w:val="center"/>
        </w:trPr>
        <w:tc>
          <w:tcPr>
            <w:tcW w:w="84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11</w:t>
            </w:r>
          </w:p>
        </w:tc>
        <w:tc>
          <w:tcPr>
            <w:tcW w:w="400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测听室室内照明灯</w:t>
            </w:r>
          </w:p>
        </w:tc>
        <w:tc>
          <w:tcPr>
            <w:tcW w:w="210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套</w:t>
            </w:r>
          </w:p>
        </w:tc>
        <w:tc>
          <w:tcPr>
            <w:tcW w:w="202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w:t>
            </w:r>
          </w:p>
        </w:tc>
      </w:tr>
      <w:tr>
        <w:tblPrEx>
          <w:tblCellMar>
            <w:top w:w="0" w:type="dxa"/>
            <w:left w:w="0" w:type="dxa"/>
            <w:bottom w:w="0" w:type="dxa"/>
            <w:right w:w="0" w:type="dxa"/>
          </w:tblCellMar>
        </w:tblPrEx>
        <w:trPr>
          <w:cantSplit/>
          <w:trHeight w:val="345" w:hRule="atLeast"/>
          <w:jc w:val="center"/>
        </w:trPr>
        <w:tc>
          <w:tcPr>
            <w:tcW w:w="84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12</w:t>
            </w:r>
          </w:p>
        </w:tc>
        <w:tc>
          <w:tcPr>
            <w:tcW w:w="400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测听室电源插座</w:t>
            </w:r>
          </w:p>
        </w:tc>
        <w:tc>
          <w:tcPr>
            <w:tcW w:w="2100"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项</w:t>
            </w:r>
          </w:p>
        </w:tc>
        <w:tc>
          <w:tcPr>
            <w:tcW w:w="2021"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9</w:t>
            </w:r>
          </w:p>
        </w:tc>
      </w:tr>
      <w:tr>
        <w:tblPrEx>
          <w:tblCellMar>
            <w:top w:w="0" w:type="dxa"/>
            <w:left w:w="0" w:type="dxa"/>
            <w:bottom w:w="0" w:type="dxa"/>
            <w:right w:w="0"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13</w:t>
            </w:r>
          </w:p>
        </w:tc>
        <w:tc>
          <w:tcPr>
            <w:tcW w:w="400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照明开关</w:t>
            </w:r>
          </w:p>
        </w:tc>
        <w:tc>
          <w:tcPr>
            <w:tcW w:w="2100"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位</w:t>
            </w:r>
          </w:p>
        </w:tc>
        <w:tc>
          <w:tcPr>
            <w:tcW w:w="2021"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w:t>
            </w:r>
          </w:p>
        </w:tc>
      </w:tr>
      <w:tr>
        <w:tblPrEx>
          <w:tblCellMar>
            <w:top w:w="0" w:type="dxa"/>
            <w:left w:w="0" w:type="dxa"/>
            <w:bottom w:w="0" w:type="dxa"/>
            <w:right w:w="0"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14</w:t>
            </w:r>
          </w:p>
        </w:tc>
        <w:tc>
          <w:tcPr>
            <w:tcW w:w="400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换风开关</w:t>
            </w:r>
          </w:p>
        </w:tc>
        <w:tc>
          <w:tcPr>
            <w:tcW w:w="2100"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位</w:t>
            </w:r>
          </w:p>
        </w:tc>
        <w:tc>
          <w:tcPr>
            <w:tcW w:w="2021"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w:t>
            </w:r>
          </w:p>
        </w:tc>
      </w:tr>
      <w:tr>
        <w:tblPrEx>
          <w:tblCellMar>
            <w:top w:w="0" w:type="dxa"/>
            <w:left w:w="0" w:type="dxa"/>
            <w:bottom w:w="0" w:type="dxa"/>
            <w:right w:w="0"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15</w:t>
            </w:r>
          </w:p>
        </w:tc>
        <w:tc>
          <w:tcPr>
            <w:tcW w:w="400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空调送风导入安装</w:t>
            </w:r>
          </w:p>
        </w:tc>
        <w:tc>
          <w:tcPr>
            <w:tcW w:w="2100"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项</w:t>
            </w:r>
          </w:p>
        </w:tc>
        <w:tc>
          <w:tcPr>
            <w:tcW w:w="2021"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w:t>
            </w:r>
          </w:p>
        </w:tc>
      </w:tr>
      <w:tr>
        <w:tblPrEx>
          <w:tblCellMar>
            <w:top w:w="0" w:type="dxa"/>
            <w:left w:w="0" w:type="dxa"/>
            <w:bottom w:w="0" w:type="dxa"/>
            <w:right w:w="0"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16</w:t>
            </w:r>
          </w:p>
        </w:tc>
        <w:tc>
          <w:tcPr>
            <w:tcW w:w="400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原隔音室拆除及装饰恢复</w:t>
            </w:r>
          </w:p>
        </w:tc>
        <w:tc>
          <w:tcPr>
            <w:tcW w:w="2100"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项</w:t>
            </w:r>
          </w:p>
        </w:tc>
        <w:tc>
          <w:tcPr>
            <w:tcW w:w="2021"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widowControl/>
              <w:snapToGrid w:val="0"/>
              <w:spacing w:line="360" w:lineRule="auto"/>
              <w:ind w:left="2"/>
              <w:jc w:val="center"/>
              <w:rPr>
                <w:rFonts w:ascii="宋体" w:hAnsi="宋体"/>
                <w:bCs/>
                <w:snapToGrid w:val="0"/>
                <w:kern w:val="0"/>
                <w:szCs w:val="21"/>
              </w:rPr>
            </w:pPr>
            <w:r>
              <w:rPr>
                <w:rFonts w:hint="eastAsia" w:ascii="宋体" w:hAnsi="宋体"/>
                <w:bCs/>
                <w:snapToGrid w:val="0"/>
                <w:kern w:val="0"/>
                <w:szCs w:val="21"/>
              </w:rPr>
              <w:t>1</w:t>
            </w:r>
          </w:p>
        </w:tc>
      </w:tr>
    </w:tbl>
    <w:p>
      <w:pPr>
        <w:spacing w:line="360" w:lineRule="exact"/>
        <w:rPr>
          <w:rFonts w:ascii="宋体" w:hAnsi="宋体"/>
          <w:sz w:val="32"/>
          <w:szCs w:val="32"/>
        </w:rPr>
      </w:pPr>
    </w:p>
    <w:p>
      <w:pPr>
        <w:spacing w:line="360" w:lineRule="exact"/>
        <w:ind w:firstLine="560" w:firstLineChars="200"/>
        <w:rPr>
          <w:rFonts w:ascii="宋体" w:hAnsi="宋体"/>
          <w:sz w:val="28"/>
          <w:szCs w:val="28"/>
        </w:rPr>
      </w:pPr>
      <w:r>
        <w:rPr>
          <w:rFonts w:hint="eastAsia" w:ascii="宋体" w:hAnsi="宋体"/>
          <w:sz w:val="28"/>
          <w:szCs w:val="28"/>
        </w:rPr>
        <w:t>原平面图：                 方案图：</w:t>
      </w:r>
    </w:p>
    <w:p>
      <w:pPr>
        <w:ind w:firstLine="420" w:firstLineChars="200"/>
        <w:rPr>
          <w:rFonts w:ascii="宋体" w:hAnsi="宋体"/>
          <w:sz w:val="32"/>
          <w:szCs w:val="32"/>
        </w:rPr>
      </w:pPr>
      <w:r>
        <w:drawing>
          <wp:anchor distT="0" distB="0" distL="114300" distR="114300" simplePos="0" relativeHeight="251667456" behindDoc="1" locked="0" layoutInCell="1" allowOverlap="1">
            <wp:simplePos x="0" y="0"/>
            <wp:positionH relativeFrom="column">
              <wp:posOffset>2718435</wp:posOffset>
            </wp:positionH>
            <wp:positionV relativeFrom="paragraph">
              <wp:posOffset>76200</wp:posOffset>
            </wp:positionV>
            <wp:extent cx="2512060" cy="2833370"/>
            <wp:effectExtent l="0" t="0" r="2540" b="5080"/>
            <wp:wrapNone/>
            <wp:docPr id="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2"/>
                    <pic:cNvPicPr>
                      <a:picLocks noChangeAspect="1"/>
                    </pic:cNvPicPr>
                  </pic:nvPicPr>
                  <pic:blipFill>
                    <a:blip r:embed="rId7"/>
                    <a:srcRect l="17201" t="5370" r="4152" b="5418"/>
                    <a:stretch>
                      <a:fillRect/>
                    </a:stretch>
                  </pic:blipFill>
                  <pic:spPr>
                    <a:xfrm>
                      <a:off x="0" y="0"/>
                      <a:ext cx="2512060" cy="2833370"/>
                    </a:xfrm>
                    <a:prstGeom prst="rect">
                      <a:avLst/>
                    </a:prstGeom>
                    <a:noFill/>
                    <a:ln>
                      <a:noFill/>
                    </a:ln>
                  </pic:spPr>
                </pic:pic>
              </a:graphicData>
            </a:graphic>
          </wp:anchor>
        </w:drawing>
      </w:r>
      <w:r>
        <w:drawing>
          <wp:inline distT="0" distB="0" distL="114300" distR="114300">
            <wp:extent cx="1918335" cy="2804795"/>
            <wp:effectExtent l="0" t="0" r="5715" b="14605"/>
            <wp:docPr id="3" name="图片 1" descr="ecc97e0b9b1e622c2ce0a8bd6428c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ecc97e0b9b1e622c2ce0a8bd6428c74"/>
                    <pic:cNvPicPr>
                      <a:picLocks noChangeAspect="1"/>
                    </pic:cNvPicPr>
                  </pic:nvPicPr>
                  <pic:blipFill>
                    <a:blip r:embed="rId8" cstate="print"/>
                    <a:stretch>
                      <a:fillRect/>
                    </a:stretch>
                  </pic:blipFill>
                  <pic:spPr>
                    <a:xfrm>
                      <a:off x="0" y="0"/>
                      <a:ext cx="1918335" cy="2804795"/>
                    </a:xfrm>
                    <a:prstGeom prst="rect">
                      <a:avLst/>
                    </a:prstGeom>
                    <a:noFill/>
                    <a:ln>
                      <a:noFill/>
                    </a:ln>
                  </pic:spPr>
                </pic:pic>
              </a:graphicData>
            </a:graphic>
          </wp:inline>
        </w:drawing>
      </w:r>
    </w:p>
    <w:p>
      <w:pPr>
        <w:spacing w:line="360" w:lineRule="exact"/>
        <w:rPr>
          <w:rFonts w:ascii="宋体" w:hAnsi="宋体"/>
          <w:sz w:val="32"/>
          <w:szCs w:val="32"/>
        </w:rPr>
      </w:pPr>
    </w:p>
    <w:p>
      <w:pPr>
        <w:pStyle w:val="454"/>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highlight w:val="yellow"/>
        </w:rPr>
      </w:pPr>
      <w:r>
        <w:rPr>
          <w:rFonts w:hint="eastAsia" w:ascii="宋体" w:hAnsi="宋体" w:eastAsia="宋体" w:cs="Times New Roman"/>
          <w:b/>
          <w:bCs/>
          <w:color w:val="auto"/>
          <w:kern w:val="2"/>
          <w:sz w:val="21"/>
          <w:szCs w:val="21"/>
          <w:highlight w:val="yellow"/>
        </w:rPr>
        <w:t>注：</w:t>
      </w:r>
    </w:p>
    <w:p>
      <w:pPr>
        <w:widowControl/>
        <w:snapToGrid w:val="0"/>
        <w:spacing w:line="360" w:lineRule="auto"/>
        <w:ind w:left="2" w:firstLine="424" w:firstLineChars="201"/>
        <w:jc w:val="left"/>
        <w:rPr>
          <w:rFonts w:ascii="宋体" w:hAnsi="宋体"/>
          <w:bCs/>
          <w:snapToGrid w:val="0"/>
          <w:kern w:val="0"/>
          <w:szCs w:val="21"/>
        </w:rPr>
      </w:pPr>
      <w:r>
        <w:rPr>
          <w:rFonts w:hint="eastAsia" w:ascii="宋体" w:hAnsi="宋体"/>
          <w:b/>
          <w:snapToGrid w:val="0"/>
          <w:kern w:val="0"/>
          <w:szCs w:val="21"/>
          <w:highlight w:val="yellow"/>
        </w:rPr>
        <w:t>（1）</w:t>
      </w:r>
      <w:r>
        <w:rPr>
          <w:rFonts w:hint="eastAsia" w:ascii="宋体" w:hAnsi="宋体"/>
          <w:b/>
          <w:bCs/>
          <w:snapToGrid w:val="0"/>
          <w:szCs w:val="21"/>
          <w:highlight w:val="yellow"/>
        </w:rPr>
        <w:t>本项目核心产品为：</w:t>
      </w:r>
      <w:r>
        <w:rPr>
          <w:rFonts w:hint="eastAsia" w:ascii="宋体" w:hAnsi="宋体"/>
          <w:b/>
          <w:bCs/>
          <w:snapToGrid w:val="0"/>
          <w:szCs w:val="21"/>
          <w:highlight w:val="yellow"/>
          <w:u w:val="single"/>
        </w:rPr>
        <w:t xml:space="preserve"> 测听室主体 </w:t>
      </w:r>
      <w:r>
        <w:rPr>
          <w:rFonts w:hint="eastAsia" w:ascii="宋体" w:hAnsi="宋体"/>
          <w:b/>
          <w:bCs/>
          <w:snapToGrid w:val="0"/>
          <w:szCs w:val="21"/>
          <w:highlight w:val="yellow"/>
        </w:rPr>
        <w:t>。</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（2）</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（3）备注栏注明“拒绝进口”的产品不接受投标人选用进口产品参与投标；注明“接受进口”的产品允许投标人选用进口产品参与投标，但不排斥国内产品。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adjustRightInd w:val="0"/>
        <w:snapToGrid w:val="0"/>
        <w:spacing w:line="360" w:lineRule="auto"/>
        <w:ind w:firstLine="422" w:firstLineChars="201"/>
        <w:rPr>
          <w:rFonts w:ascii="宋体" w:hAnsi="宋体"/>
          <w:b/>
          <w:bCs/>
          <w:snapToGrid w:val="0"/>
          <w:kern w:val="0"/>
          <w:sz w:val="24"/>
        </w:rPr>
      </w:pPr>
      <w:r>
        <w:rPr>
          <w:rFonts w:hint="eastAsia" w:ascii="宋体" w:hAnsi="宋体"/>
          <w:bCs/>
          <w:snapToGrid w:val="0"/>
          <w:kern w:val="0"/>
          <w:szCs w:val="21"/>
        </w:rPr>
        <w:tab/>
      </w: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7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1482"/>
        <w:gridCol w:w="727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917" w:type="dxa"/>
            <w:shd w:val="clear" w:color="auto" w:fill="C6D9F1"/>
            <w:noWrap/>
            <w:vAlign w:val="center"/>
          </w:tcPr>
          <w:p>
            <w:pPr>
              <w:spacing w:line="360" w:lineRule="auto"/>
              <w:jc w:val="center"/>
              <w:rPr>
                <w:rFonts w:ascii="宋体" w:hAnsi="宋体" w:cs="宋体"/>
                <w:b/>
                <w:bCs/>
                <w:snapToGrid w:val="0"/>
                <w:color w:val="000000"/>
                <w:kern w:val="0"/>
                <w:szCs w:val="21"/>
              </w:rPr>
            </w:pPr>
            <w:r>
              <w:rPr>
                <w:rFonts w:hint="eastAsia" w:ascii="宋体" w:hAnsi="宋体" w:cs="宋体"/>
                <w:b/>
                <w:bCs/>
                <w:snapToGrid w:val="0"/>
                <w:color w:val="000000"/>
                <w:kern w:val="0"/>
                <w:szCs w:val="21"/>
              </w:rPr>
              <w:t>序号</w:t>
            </w:r>
          </w:p>
        </w:tc>
        <w:tc>
          <w:tcPr>
            <w:tcW w:w="1482" w:type="dxa"/>
            <w:shd w:val="clear" w:color="auto" w:fill="C6D9F1"/>
            <w:noWrap/>
            <w:vAlign w:val="center"/>
          </w:tcPr>
          <w:p>
            <w:pPr>
              <w:spacing w:line="360" w:lineRule="auto"/>
              <w:jc w:val="center"/>
              <w:rPr>
                <w:rFonts w:ascii="宋体" w:hAnsi="宋体" w:cs="宋体"/>
                <w:b/>
                <w:bCs/>
                <w:snapToGrid w:val="0"/>
                <w:color w:val="000000"/>
                <w:kern w:val="0"/>
                <w:szCs w:val="21"/>
              </w:rPr>
            </w:pPr>
            <w:r>
              <w:rPr>
                <w:rFonts w:hint="eastAsia" w:ascii="宋体" w:hAnsi="宋体" w:cs="宋体"/>
                <w:b/>
                <w:bCs/>
                <w:snapToGrid w:val="0"/>
                <w:color w:val="000000"/>
                <w:kern w:val="0"/>
                <w:szCs w:val="21"/>
              </w:rPr>
              <w:t>类别</w:t>
            </w:r>
          </w:p>
        </w:tc>
        <w:tc>
          <w:tcPr>
            <w:tcW w:w="7278" w:type="dxa"/>
            <w:shd w:val="clear" w:color="auto" w:fill="C6D9F1"/>
            <w:noWrap/>
            <w:vAlign w:val="center"/>
          </w:tcPr>
          <w:p>
            <w:pPr>
              <w:spacing w:line="360" w:lineRule="auto"/>
              <w:jc w:val="center"/>
              <w:rPr>
                <w:rFonts w:ascii="宋体" w:hAnsi="宋体" w:cs="宋体"/>
                <w:b/>
                <w:bCs/>
                <w:snapToGrid w:val="0"/>
                <w:color w:val="000000"/>
                <w:kern w:val="0"/>
                <w:szCs w:val="21"/>
              </w:rPr>
            </w:pPr>
            <w:r>
              <w:rPr>
                <w:rFonts w:hint="eastAsia" w:ascii="宋体" w:hAnsi="宋体" w:cs="宋体"/>
                <w:b/>
                <w:bCs/>
                <w:snapToGrid w:val="0"/>
                <w:color w:val="000000"/>
                <w:kern w:val="0"/>
                <w:szCs w:val="21"/>
              </w:rPr>
              <w:t>货物具体参数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bCs/>
                <w:snapToGrid w:val="0"/>
                <w:color w:val="000000"/>
                <w:kern w:val="0"/>
                <w:szCs w:val="21"/>
              </w:rPr>
              <w:t>1</w:t>
            </w:r>
          </w:p>
        </w:tc>
        <w:tc>
          <w:tcPr>
            <w:tcW w:w="1482"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bCs/>
                <w:snapToGrid w:val="0"/>
                <w:color w:val="000000"/>
                <w:kern w:val="0"/>
                <w:szCs w:val="21"/>
              </w:rPr>
              <w:t>测听室面积</w:t>
            </w:r>
          </w:p>
        </w:tc>
        <w:tc>
          <w:tcPr>
            <w:tcW w:w="7278" w:type="dxa"/>
            <w:noWrap/>
            <w:vAlign w:val="center"/>
          </w:tcPr>
          <w:p>
            <w:pPr>
              <w:spacing w:line="360" w:lineRule="auto"/>
              <w:rPr>
                <w:rFonts w:ascii="宋体" w:hAnsi="宋体" w:cs="宋体"/>
                <w:bCs/>
                <w:snapToGrid w:val="0"/>
                <w:color w:val="000000"/>
                <w:kern w:val="0"/>
                <w:szCs w:val="21"/>
              </w:rPr>
            </w:pPr>
            <w:r>
              <w:rPr>
                <w:rFonts w:hint="eastAsia" w:ascii="宋体" w:hAnsi="宋体" w:cs="宋体"/>
                <w:bCs/>
                <w:snapToGrid w:val="0"/>
                <w:color w:val="000000"/>
                <w:kern w:val="0"/>
                <w:szCs w:val="21"/>
              </w:rPr>
              <w:t>1.1按图纸要求。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bCs/>
                <w:snapToGrid w:val="0"/>
                <w:color w:val="000000"/>
                <w:kern w:val="0"/>
                <w:szCs w:val="21"/>
              </w:rPr>
              <w:t>2</w:t>
            </w:r>
          </w:p>
        </w:tc>
        <w:tc>
          <w:tcPr>
            <w:tcW w:w="1482"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bCs/>
                <w:snapToGrid w:val="0"/>
                <w:color w:val="000000"/>
                <w:kern w:val="0"/>
                <w:szCs w:val="21"/>
              </w:rPr>
              <w:t>声学指标</w:t>
            </w:r>
          </w:p>
        </w:tc>
        <w:tc>
          <w:tcPr>
            <w:tcW w:w="7278" w:type="dxa"/>
            <w:noWrap/>
            <w:vAlign w:val="center"/>
          </w:tcPr>
          <w:p>
            <w:pPr>
              <w:spacing w:line="360" w:lineRule="auto"/>
              <w:rPr>
                <w:rFonts w:ascii="宋体" w:hAnsi="宋体" w:cs="宋体"/>
                <w:szCs w:val="21"/>
              </w:rPr>
            </w:pPr>
            <w:r>
              <w:rPr>
                <w:rFonts w:hint="eastAsia" w:ascii="宋体" w:hAnsi="宋体" w:cs="宋体"/>
                <w:szCs w:val="21"/>
              </w:rPr>
              <w:t>2.1参照国家标准GB/T16296《声学测听方法第2部分：用纯音及窄带测试信号的声场测听》生产,室外本底噪声≤55-60dB(A),室内本底噪声≤28dB(A)标准</w:t>
            </w:r>
            <w:r>
              <w:rPr>
                <w:rFonts w:hint="eastAsia" w:ascii="宋体" w:hAnsi="宋体" w:cs="宋体"/>
                <w:b/>
                <w:bCs/>
                <w:color w:val="FF0000"/>
                <w:szCs w:val="21"/>
              </w:rPr>
              <w:t>（需提供相关的声学检测报告）</w:t>
            </w:r>
            <w:r>
              <w:rPr>
                <w:rFonts w:hint="eastAsia" w:ascii="宋体" w:hAnsi="宋体" w:cs="宋体"/>
                <w:szCs w:val="21"/>
              </w:rPr>
              <w:t>。</w:t>
            </w:r>
          </w:p>
          <w:p>
            <w:pPr>
              <w:spacing w:line="360" w:lineRule="auto"/>
              <w:rPr>
                <w:rFonts w:ascii="宋体" w:hAnsi="宋体" w:cs="宋体"/>
                <w:bCs/>
                <w:snapToGrid w:val="0"/>
                <w:color w:val="000000"/>
                <w:kern w:val="0"/>
                <w:szCs w:val="21"/>
              </w:rPr>
            </w:pPr>
            <w:r>
              <w:rPr>
                <w:rStyle w:val="507"/>
                <w:rFonts w:hint="eastAsia" w:ascii="宋体" w:hAnsi="宋体" w:cs="宋体"/>
                <w:b/>
                <w:color w:val="FF0000"/>
                <w:szCs w:val="21"/>
              </w:rPr>
              <w:t>备注：中标人交货安装后须聘请具相关资质的第三方检测机构进行检测，并承担所有检测费（如检测报告不符合标准则按违约处理，赔付相应的违约金）。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bCs/>
                <w:snapToGrid w:val="0"/>
                <w:color w:val="000000"/>
                <w:kern w:val="0"/>
                <w:szCs w:val="21"/>
              </w:rPr>
              <w:t>3</w:t>
            </w:r>
          </w:p>
        </w:tc>
        <w:tc>
          <w:tcPr>
            <w:tcW w:w="1482"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szCs w:val="21"/>
              </w:rPr>
              <w:t>隔音墙体</w:t>
            </w:r>
          </w:p>
        </w:tc>
        <w:tc>
          <w:tcPr>
            <w:tcW w:w="7278" w:type="dxa"/>
            <w:noWrap/>
            <w:vAlign w:val="center"/>
          </w:tcPr>
          <w:p>
            <w:pPr>
              <w:pStyle w:val="21"/>
              <w:spacing w:after="0" w:line="360" w:lineRule="auto"/>
              <w:ind w:left="0" w:leftChars="0"/>
              <w:rPr>
                <w:rFonts w:ascii="宋体" w:hAnsi="宋体" w:cs="宋体"/>
                <w:szCs w:val="21"/>
              </w:rPr>
            </w:pPr>
            <w:r>
              <w:rPr>
                <w:rFonts w:hint="eastAsia" w:ascii="宋体" w:hAnsi="宋体" w:cs="宋体"/>
                <w:szCs w:val="21"/>
              </w:rPr>
              <w:t>3.1▲多层复合隔声墙体，钢木混合结构。由工厂标准化和专业化生产可以拆卸、异地重装。隔声墙体模块板组合式生产方式，现场快速安装并具有良好的结构稳定性。需提供生产厂家相关安全生产标准化证书和隔声性能指标。隔音室墙体总厚度不小于500mm。</w:t>
            </w:r>
          </w:p>
          <w:p>
            <w:pPr>
              <w:spacing w:line="360" w:lineRule="auto"/>
              <w:rPr>
                <w:rFonts w:ascii="宋体" w:hAnsi="宋体" w:cs="宋体"/>
                <w:szCs w:val="21"/>
              </w:rPr>
            </w:pPr>
            <w:r>
              <w:rPr>
                <w:rFonts w:hint="eastAsia" w:ascii="宋体" w:hAnsi="宋体" w:cs="宋体"/>
                <w:bCs/>
                <w:snapToGrid w:val="0"/>
                <w:color w:val="000000"/>
                <w:kern w:val="0"/>
                <w:szCs w:val="21"/>
              </w:rPr>
              <w:t>3.2</w:t>
            </w:r>
            <w:r>
              <w:rPr>
                <w:rFonts w:hint="eastAsia" w:ascii="宋体" w:hAnsi="宋体" w:cs="宋体"/>
                <w:szCs w:val="21"/>
              </w:rPr>
              <w:t>▲内部采用无甲醛32K/50mm环保E1级隔音材料。</w:t>
            </w:r>
          </w:p>
          <w:p>
            <w:pPr>
              <w:spacing w:line="360" w:lineRule="auto"/>
              <w:rPr>
                <w:rFonts w:ascii="宋体" w:hAnsi="宋体" w:cs="宋体"/>
                <w:szCs w:val="21"/>
              </w:rPr>
            </w:pPr>
            <w:r>
              <w:rPr>
                <w:rFonts w:hint="eastAsia" w:ascii="宋体" w:hAnsi="宋体" w:cs="宋体"/>
                <w:szCs w:val="21"/>
              </w:rPr>
              <w:t>3.3▲主体隔音板：不小于30mm厚，物理力学性能符合GB/T11718-2009标准，甲醛释放量符合GB18580-2001 E1级标准。</w:t>
            </w:r>
          </w:p>
          <w:p>
            <w:pPr>
              <w:spacing w:line="360" w:lineRule="auto"/>
              <w:rPr>
                <w:rFonts w:ascii="宋体" w:hAnsi="宋体" w:cs="宋体"/>
                <w:szCs w:val="21"/>
              </w:rPr>
            </w:pPr>
            <w:r>
              <w:rPr>
                <w:rFonts w:hint="eastAsia" w:ascii="宋体" w:hAnsi="宋体" w:cs="宋体"/>
                <w:szCs w:val="21"/>
              </w:rPr>
              <w:t>3.4内表面：使用不小于0.7mm厚度微孔金属白色铝扣板，冲孔率45%，孔径：∮1~2。</w:t>
            </w:r>
          </w:p>
          <w:p>
            <w:pPr>
              <w:spacing w:line="360" w:lineRule="auto"/>
              <w:rPr>
                <w:rFonts w:ascii="宋体" w:hAnsi="宋体" w:cs="宋体"/>
                <w:bCs/>
                <w:snapToGrid w:val="0"/>
                <w:color w:val="000000"/>
                <w:kern w:val="0"/>
                <w:szCs w:val="21"/>
              </w:rPr>
            </w:pPr>
            <w:r>
              <w:rPr>
                <w:rFonts w:hint="eastAsia" w:ascii="宋体" w:hAnsi="宋体" w:cs="宋体"/>
                <w:szCs w:val="21"/>
              </w:rPr>
              <w:t>3.5外表面：外部采用白色中空隔音板，美观大方。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bCs/>
                <w:snapToGrid w:val="0"/>
                <w:color w:val="000000"/>
                <w:kern w:val="0"/>
                <w:szCs w:val="21"/>
              </w:rPr>
              <w:t>4</w:t>
            </w:r>
          </w:p>
        </w:tc>
        <w:tc>
          <w:tcPr>
            <w:tcW w:w="1482"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szCs w:val="21"/>
              </w:rPr>
              <w:t>隔音门</w:t>
            </w:r>
          </w:p>
        </w:tc>
        <w:tc>
          <w:tcPr>
            <w:tcW w:w="7278" w:type="dxa"/>
            <w:noWrap/>
            <w:vAlign w:val="center"/>
          </w:tcPr>
          <w:p>
            <w:pPr>
              <w:spacing w:line="360" w:lineRule="auto"/>
              <w:rPr>
                <w:rFonts w:ascii="宋体" w:hAnsi="宋体" w:cs="宋体"/>
                <w:bCs/>
                <w:snapToGrid w:val="0"/>
                <w:color w:val="000000"/>
                <w:kern w:val="0"/>
                <w:szCs w:val="21"/>
              </w:rPr>
            </w:pPr>
            <w:r>
              <w:rPr>
                <w:rFonts w:hint="eastAsia" w:ascii="宋体" w:hAnsi="宋体" w:cs="宋体"/>
                <w:szCs w:val="21"/>
              </w:rPr>
              <w:t>4.1双磁控凹凸式隔音门，整门护面材料全钢材质。每间测听室需安装双层隔音门。尺寸不小于800mm(宽）*1900mm（高），需标明隔声结构及性能。隔音量≥45dB.</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bCs/>
                <w:snapToGrid w:val="0"/>
                <w:color w:val="000000"/>
                <w:kern w:val="0"/>
                <w:szCs w:val="21"/>
              </w:rPr>
              <w:t>5</w:t>
            </w:r>
          </w:p>
        </w:tc>
        <w:tc>
          <w:tcPr>
            <w:tcW w:w="1482"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szCs w:val="21"/>
              </w:rPr>
              <w:t>隔声窗</w:t>
            </w:r>
          </w:p>
        </w:tc>
        <w:tc>
          <w:tcPr>
            <w:tcW w:w="7278" w:type="dxa"/>
            <w:noWrap/>
            <w:vAlign w:val="center"/>
          </w:tcPr>
          <w:p>
            <w:pPr>
              <w:pStyle w:val="21"/>
              <w:spacing w:after="0" w:line="360" w:lineRule="auto"/>
              <w:ind w:left="0" w:leftChars="0"/>
              <w:rPr>
                <w:rFonts w:ascii="宋体" w:hAnsi="宋体" w:cs="宋体"/>
                <w:szCs w:val="21"/>
              </w:rPr>
            </w:pPr>
            <w:r>
              <w:rPr>
                <w:rFonts w:hint="eastAsia" w:ascii="宋体" w:hAnsi="宋体" w:cs="宋体"/>
                <w:szCs w:val="21"/>
              </w:rPr>
              <w:t>5.1采用双层中空隔音窗，防反光设计并倾斜安装，隔音玻璃间距不小于60mm。每间测听室需安装独立隔声窗。尺寸不应小于800mm（宽）×600mm（高）。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bCs/>
                <w:snapToGrid w:val="0"/>
                <w:color w:val="000000"/>
                <w:kern w:val="0"/>
                <w:szCs w:val="21"/>
              </w:rPr>
              <w:t>6</w:t>
            </w:r>
          </w:p>
        </w:tc>
        <w:tc>
          <w:tcPr>
            <w:tcW w:w="1482"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bCs/>
                <w:snapToGrid w:val="0"/>
                <w:color w:val="000000"/>
                <w:kern w:val="0"/>
                <w:szCs w:val="21"/>
              </w:rPr>
              <w:t>换气设施</w:t>
            </w:r>
          </w:p>
        </w:tc>
        <w:tc>
          <w:tcPr>
            <w:tcW w:w="7278" w:type="dxa"/>
            <w:noWrap/>
            <w:vAlign w:val="center"/>
          </w:tcPr>
          <w:p>
            <w:pPr>
              <w:spacing w:line="360" w:lineRule="auto"/>
              <w:rPr>
                <w:rFonts w:ascii="宋体" w:hAnsi="宋体" w:cs="宋体"/>
                <w:bCs/>
                <w:snapToGrid w:val="0"/>
                <w:color w:val="000000"/>
                <w:kern w:val="0"/>
                <w:szCs w:val="21"/>
              </w:rPr>
            </w:pPr>
            <w:r>
              <w:rPr>
                <w:rFonts w:hint="eastAsia" w:ascii="宋体" w:hAnsi="宋体" w:cs="宋体"/>
                <w:szCs w:val="21"/>
              </w:rPr>
              <w:t>6.1测听室应具有良好空调及进、出风换气设施，并有消声处理，设施启动、运行时，不影响测听环境的技术指标。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bCs/>
                <w:snapToGrid w:val="0"/>
                <w:color w:val="000000"/>
                <w:kern w:val="0"/>
                <w:szCs w:val="21"/>
              </w:rPr>
              <w:t>7</w:t>
            </w:r>
          </w:p>
        </w:tc>
        <w:tc>
          <w:tcPr>
            <w:tcW w:w="1482"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szCs w:val="21"/>
              </w:rPr>
              <w:t>减震器</w:t>
            </w:r>
          </w:p>
        </w:tc>
        <w:tc>
          <w:tcPr>
            <w:tcW w:w="7278" w:type="dxa"/>
            <w:noWrap/>
            <w:vAlign w:val="center"/>
          </w:tcPr>
          <w:p>
            <w:pPr>
              <w:spacing w:line="360" w:lineRule="auto"/>
              <w:rPr>
                <w:rFonts w:ascii="宋体" w:hAnsi="宋体" w:cs="宋体"/>
                <w:bCs/>
                <w:snapToGrid w:val="0"/>
                <w:color w:val="000000"/>
                <w:kern w:val="0"/>
                <w:szCs w:val="21"/>
              </w:rPr>
            </w:pPr>
            <w:r>
              <w:rPr>
                <w:rFonts w:hint="eastAsia" w:ascii="宋体" w:hAnsi="宋体" w:cs="宋体"/>
                <w:szCs w:val="21"/>
              </w:rPr>
              <w:t>7.1减振器由橡胶隔振垫并联组成。隔音减震，耐腐蚀，振动传递率：2-10%，共振频率：1.5HZ-12HZ。</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bCs/>
                <w:snapToGrid w:val="0"/>
                <w:color w:val="000000"/>
                <w:kern w:val="0"/>
                <w:szCs w:val="21"/>
              </w:rPr>
              <w:t>8</w:t>
            </w:r>
          </w:p>
        </w:tc>
        <w:tc>
          <w:tcPr>
            <w:tcW w:w="1482"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szCs w:val="21"/>
              </w:rPr>
              <w:t>信号转接系统</w:t>
            </w:r>
          </w:p>
        </w:tc>
        <w:tc>
          <w:tcPr>
            <w:tcW w:w="7278" w:type="dxa"/>
            <w:noWrap/>
            <w:vAlign w:val="center"/>
          </w:tcPr>
          <w:p>
            <w:pPr>
              <w:spacing w:line="360" w:lineRule="auto"/>
              <w:rPr>
                <w:rFonts w:ascii="宋体" w:hAnsi="宋体" w:cs="宋体"/>
                <w:bCs/>
                <w:snapToGrid w:val="0"/>
                <w:color w:val="000000"/>
                <w:kern w:val="0"/>
                <w:szCs w:val="21"/>
              </w:rPr>
            </w:pPr>
            <w:r>
              <w:rPr>
                <w:rFonts w:hint="eastAsia" w:ascii="宋体" w:hAnsi="宋体" w:cs="宋体"/>
                <w:szCs w:val="21"/>
              </w:rPr>
              <w:t>8.1要求信号传输无衰减。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bCs/>
                <w:snapToGrid w:val="0"/>
                <w:color w:val="000000"/>
                <w:kern w:val="0"/>
                <w:szCs w:val="21"/>
              </w:rPr>
              <w:t>9</w:t>
            </w:r>
          </w:p>
        </w:tc>
        <w:tc>
          <w:tcPr>
            <w:tcW w:w="1482"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szCs w:val="21"/>
              </w:rPr>
              <w:t>室内地面</w:t>
            </w:r>
          </w:p>
        </w:tc>
        <w:tc>
          <w:tcPr>
            <w:tcW w:w="7278" w:type="dxa"/>
            <w:noWrap/>
            <w:vAlign w:val="center"/>
          </w:tcPr>
          <w:p>
            <w:pPr>
              <w:spacing w:line="360" w:lineRule="auto"/>
              <w:rPr>
                <w:rFonts w:ascii="宋体" w:hAnsi="宋体" w:cs="宋体"/>
                <w:bCs/>
                <w:snapToGrid w:val="0"/>
                <w:color w:val="000000"/>
                <w:kern w:val="0"/>
                <w:szCs w:val="21"/>
              </w:rPr>
            </w:pPr>
            <w:r>
              <w:rPr>
                <w:rFonts w:hint="eastAsia" w:ascii="宋体" w:hAnsi="宋体" w:cs="宋体"/>
                <w:szCs w:val="21"/>
              </w:rPr>
              <w:t>9.1地面加铺厚度为3mm厚环保同质透芯PVC地胶，方便日常清洁维护</w:t>
            </w:r>
            <w:r>
              <w:rPr>
                <w:rFonts w:hint="eastAsia" w:ascii="宋体" w:hAnsi="宋体" w:cs="宋体"/>
                <w:bCs/>
                <w:snapToGrid w:val="0"/>
                <w:color w:val="000000"/>
                <w:kern w:val="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bCs/>
                <w:snapToGrid w:val="0"/>
                <w:color w:val="000000"/>
                <w:kern w:val="0"/>
                <w:szCs w:val="21"/>
              </w:rPr>
              <w:t>10</w:t>
            </w:r>
          </w:p>
        </w:tc>
        <w:tc>
          <w:tcPr>
            <w:tcW w:w="1482"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szCs w:val="21"/>
              </w:rPr>
              <w:t>照明方式</w:t>
            </w:r>
          </w:p>
        </w:tc>
        <w:tc>
          <w:tcPr>
            <w:tcW w:w="7278" w:type="dxa"/>
            <w:noWrap/>
            <w:vAlign w:val="center"/>
          </w:tcPr>
          <w:p>
            <w:pPr>
              <w:spacing w:line="360" w:lineRule="auto"/>
              <w:rPr>
                <w:rFonts w:ascii="宋体" w:hAnsi="宋体" w:cs="宋体"/>
                <w:bCs/>
                <w:snapToGrid w:val="0"/>
                <w:color w:val="000000"/>
                <w:kern w:val="0"/>
                <w:szCs w:val="21"/>
              </w:rPr>
            </w:pPr>
            <w:r>
              <w:rPr>
                <w:rFonts w:hint="eastAsia" w:ascii="宋体" w:hAnsi="宋体" w:cs="宋体"/>
                <w:szCs w:val="21"/>
              </w:rPr>
              <w:t>10.1无干扰电子灯。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bCs/>
                <w:snapToGrid w:val="0"/>
                <w:color w:val="000000"/>
                <w:kern w:val="0"/>
                <w:szCs w:val="21"/>
              </w:rPr>
              <w:t>11</w:t>
            </w:r>
          </w:p>
        </w:tc>
        <w:tc>
          <w:tcPr>
            <w:tcW w:w="1482"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bCs/>
                <w:snapToGrid w:val="0"/>
                <w:color w:val="000000"/>
                <w:kern w:val="0"/>
                <w:szCs w:val="21"/>
              </w:rPr>
              <w:t>空气质量</w:t>
            </w:r>
          </w:p>
        </w:tc>
        <w:tc>
          <w:tcPr>
            <w:tcW w:w="7278" w:type="dxa"/>
            <w:noWrap/>
            <w:vAlign w:val="center"/>
          </w:tcPr>
          <w:p>
            <w:pPr>
              <w:spacing w:line="360" w:lineRule="auto"/>
              <w:rPr>
                <w:rFonts w:ascii="宋体" w:hAnsi="宋体" w:cs="宋体"/>
                <w:bCs/>
                <w:snapToGrid w:val="0"/>
                <w:color w:val="000000"/>
                <w:kern w:val="0"/>
                <w:szCs w:val="21"/>
              </w:rPr>
            </w:pPr>
            <w:r>
              <w:rPr>
                <w:rFonts w:hint="eastAsia" w:ascii="宋体" w:hAnsi="宋体" w:cs="宋体"/>
                <w:bCs/>
                <w:snapToGrid w:val="0"/>
                <w:color w:val="000000"/>
                <w:kern w:val="0"/>
                <w:szCs w:val="21"/>
              </w:rPr>
              <w:t>11.1测听室内空气质量须符合《室内空气质量标准GB/T18883-2002》。</w:t>
            </w:r>
          </w:p>
          <w:p>
            <w:pPr>
              <w:spacing w:line="360" w:lineRule="auto"/>
              <w:rPr>
                <w:rFonts w:ascii="宋体" w:hAnsi="宋体" w:cs="宋体"/>
                <w:bCs/>
                <w:snapToGrid w:val="0"/>
                <w:color w:val="000000"/>
                <w:kern w:val="0"/>
                <w:szCs w:val="21"/>
              </w:rPr>
            </w:pPr>
            <w:r>
              <w:rPr>
                <w:rStyle w:val="507"/>
                <w:rFonts w:hint="eastAsia" w:ascii="宋体" w:hAnsi="宋体" w:cs="宋体"/>
                <w:b/>
                <w:color w:val="FF0000"/>
                <w:szCs w:val="21"/>
              </w:rPr>
              <w:t>备注：中标人交货安装后须聘请具相关资质的第三方检测机构进行检测，并承担所有检测费（如检测报告不符合标准则按违约处理，赔付相应的违约金）。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bCs/>
                <w:snapToGrid w:val="0"/>
                <w:color w:val="000000"/>
                <w:kern w:val="0"/>
                <w:szCs w:val="21"/>
              </w:rPr>
              <w:t>12</w:t>
            </w:r>
          </w:p>
        </w:tc>
        <w:tc>
          <w:tcPr>
            <w:tcW w:w="1482"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szCs w:val="21"/>
              </w:rPr>
              <w:t>重量要求</w:t>
            </w:r>
          </w:p>
        </w:tc>
        <w:tc>
          <w:tcPr>
            <w:tcW w:w="7278" w:type="dxa"/>
            <w:noWrap/>
            <w:vAlign w:val="center"/>
          </w:tcPr>
          <w:p>
            <w:pPr>
              <w:spacing w:line="360" w:lineRule="auto"/>
              <w:rPr>
                <w:rFonts w:ascii="宋体" w:hAnsi="宋体" w:cs="宋体"/>
                <w:bCs/>
                <w:snapToGrid w:val="0"/>
                <w:color w:val="000000"/>
                <w:kern w:val="0"/>
                <w:szCs w:val="21"/>
              </w:rPr>
            </w:pPr>
            <w:r>
              <w:rPr>
                <w:rFonts w:hint="eastAsia" w:ascii="宋体" w:hAnsi="宋体" w:cs="宋体"/>
                <w:b/>
                <w:szCs w:val="21"/>
                <w:highlight w:val="yellow"/>
              </w:rPr>
              <w:t>★12.1整体重量≤2.5吨，</w:t>
            </w:r>
            <w:r>
              <w:rPr>
                <w:rFonts w:hint="eastAsia" w:ascii="宋体" w:hAnsi="宋体" w:cs="宋体"/>
                <w:b/>
                <w:color w:val="000000"/>
                <w:szCs w:val="21"/>
                <w:highlight w:val="yellow"/>
              </w:rPr>
              <w:t>采购人用于安装测听室的楼板设计荷载为200KG/㎡,如出现超负荷，影响房屋结构安全，由中标方承担所有责任。</w:t>
            </w:r>
            <w:r>
              <w:rPr>
                <w:rFonts w:hint="eastAsia" w:ascii="宋体" w:hAnsi="宋体" w:cs="宋体"/>
                <w:b/>
                <w:color w:val="FF0000"/>
                <w:szCs w:val="21"/>
              </w:rPr>
              <w:t>【提供承诺函，格式自拟】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 w:type="dxa"/>
            <w:noWrap/>
            <w:vAlign w:val="center"/>
          </w:tcPr>
          <w:p>
            <w:pPr>
              <w:spacing w:line="360" w:lineRule="auto"/>
              <w:jc w:val="center"/>
              <w:rPr>
                <w:rFonts w:ascii="宋体" w:hAnsi="宋体" w:cs="宋体"/>
                <w:bCs/>
                <w:snapToGrid w:val="0"/>
                <w:color w:val="000000"/>
                <w:kern w:val="0"/>
                <w:szCs w:val="21"/>
              </w:rPr>
            </w:pPr>
            <w:r>
              <w:rPr>
                <w:rFonts w:hint="eastAsia" w:ascii="宋体" w:hAnsi="宋体" w:cs="宋体"/>
                <w:bCs/>
                <w:snapToGrid w:val="0"/>
                <w:color w:val="000000"/>
                <w:kern w:val="0"/>
                <w:szCs w:val="21"/>
              </w:rPr>
              <w:t>13</w:t>
            </w:r>
          </w:p>
        </w:tc>
        <w:tc>
          <w:tcPr>
            <w:tcW w:w="1482" w:type="dxa"/>
            <w:noWrap/>
            <w:vAlign w:val="center"/>
          </w:tcPr>
          <w:p>
            <w:pPr>
              <w:spacing w:line="360" w:lineRule="auto"/>
              <w:jc w:val="center"/>
              <w:rPr>
                <w:rFonts w:ascii="宋体" w:hAnsi="宋体" w:cs="宋体"/>
                <w:bCs/>
                <w:snapToGrid w:val="0"/>
                <w:color w:val="000000"/>
                <w:kern w:val="0"/>
                <w:szCs w:val="21"/>
              </w:rPr>
            </w:pPr>
            <w:r>
              <w:rPr>
                <w:rStyle w:val="507"/>
                <w:rFonts w:hint="eastAsia" w:ascii="宋体" w:hAnsi="宋体" w:cs="宋体"/>
                <w:szCs w:val="21"/>
              </w:rPr>
              <w:t>安装要求</w:t>
            </w:r>
          </w:p>
        </w:tc>
        <w:tc>
          <w:tcPr>
            <w:tcW w:w="7278" w:type="dxa"/>
            <w:noWrap/>
            <w:vAlign w:val="center"/>
          </w:tcPr>
          <w:p>
            <w:pPr>
              <w:spacing w:line="360" w:lineRule="auto"/>
              <w:rPr>
                <w:rFonts w:ascii="宋体" w:hAnsi="宋体" w:cs="宋体"/>
                <w:bCs/>
                <w:snapToGrid w:val="0"/>
                <w:color w:val="000000"/>
                <w:kern w:val="0"/>
                <w:szCs w:val="21"/>
              </w:rPr>
            </w:pPr>
            <w:r>
              <w:rPr>
                <w:rStyle w:val="507"/>
                <w:rFonts w:hint="eastAsia" w:ascii="宋体" w:hAnsi="宋体" w:cs="宋体"/>
                <w:szCs w:val="21"/>
              </w:rPr>
              <w:t>13.1测听室具备隔振、隔声、吸声、消声、通风换气、照明、配电、信号转接、环保、空间实用等功能，并使用图纸表示。必须满足听力学专业配置及检测设备的安装要求（如室内外部件的连线等），确保不影响设备的正常使用</w:t>
            </w:r>
            <w:r>
              <w:rPr>
                <w:rFonts w:hint="eastAsia" w:ascii="宋体" w:hAnsi="宋体" w:cs="宋体"/>
                <w:bCs/>
                <w:snapToGrid w:val="0"/>
                <w:color w:val="000000"/>
                <w:kern w:val="0"/>
                <w:szCs w:val="21"/>
              </w:rPr>
              <w:t>。测听室使用安装涉及的拆装等项目均由中标人完成。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 w:type="dxa"/>
            <w:noWrap/>
            <w:vAlign w:val="center"/>
          </w:tcPr>
          <w:p>
            <w:pPr>
              <w:spacing w:line="360" w:lineRule="auto"/>
              <w:jc w:val="center"/>
              <w:rPr>
                <w:rFonts w:hint="default" w:ascii="宋体" w:hAnsi="宋体" w:eastAsia="宋体" w:cs="宋体"/>
                <w:bCs/>
                <w:snapToGrid w:val="0"/>
                <w:color w:val="000000"/>
                <w:kern w:val="0"/>
                <w:szCs w:val="21"/>
                <w:lang w:val="en-US" w:eastAsia="zh-CN"/>
              </w:rPr>
            </w:pPr>
            <w:r>
              <w:rPr>
                <w:rFonts w:hint="eastAsia" w:ascii="宋体" w:hAnsi="宋体" w:cs="宋体"/>
                <w:bCs/>
                <w:snapToGrid w:val="0"/>
                <w:color w:val="000000"/>
                <w:kern w:val="0"/>
                <w:szCs w:val="21"/>
                <w:lang w:val="en-US" w:eastAsia="zh-CN"/>
              </w:rPr>
              <w:t>14</w:t>
            </w:r>
          </w:p>
        </w:tc>
        <w:tc>
          <w:tcPr>
            <w:tcW w:w="1482" w:type="dxa"/>
            <w:noWrap/>
            <w:vAlign w:val="center"/>
          </w:tcPr>
          <w:p>
            <w:pPr>
              <w:spacing w:line="360" w:lineRule="auto"/>
              <w:jc w:val="center"/>
              <w:rPr>
                <w:rFonts w:ascii="宋体" w:hAnsi="宋体" w:cs="宋体"/>
                <w:bCs/>
                <w:snapToGrid w:val="0"/>
                <w:color w:val="000000"/>
                <w:kern w:val="0"/>
                <w:szCs w:val="21"/>
              </w:rPr>
            </w:pPr>
            <w:r>
              <w:rPr>
                <w:rStyle w:val="507"/>
                <w:rFonts w:hint="eastAsia" w:ascii="宋体" w:hAnsi="宋体" w:cs="宋体"/>
                <w:szCs w:val="21"/>
              </w:rPr>
              <w:t>检验报告</w:t>
            </w:r>
          </w:p>
        </w:tc>
        <w:tc>
          <w:tcPr>
            <w:tcW w:w="7278" w:type="dxa"/>
            <w:noWrap/>
            <w:vAlign w:val="center"/>
          </w:tcPr>
          <w:p>
            <w:pPr>
              <w:spacing w:line="360" w:lineRule="auto"/>
              <w:rPr>
                <w:rFonts w:ascii="宋体" w:hAnsi="宋体" w:cs="宋体"/>
                <w:bCs/>
                <w:snapToGrid w:val="0"/>
                <w:color w:val="000000"/>
                <w:kern w:val="0"/>
                <w:szCs w:val="21"/>
              </w:rPr>
            </w:pPr>
            <w:r>
              <w:rPr>
                <w:rStyle w:val="507"/>
                <w:rFonts w:hint="eastAsia" w:ascii="宋体" w:hAnsi="宋体" w:cs="宋体"/>
                <w:szCs w:val="21"/>
              </w:rPr>
              <w:t>1</w:t>
            </w:r>
            <w:r>
              <w:rPr>
                <w:rStyle w:val="507"/>
                <w:rFonts w:hint="eastAsia" w:ascii="宋体" w:hAnsi="宋体" w:cs="宋体"/>
                <w:szCs w:val="21"/>
                <w:lang w:val="en-US" w:eastAsia="zh-CN"/>
              </w:rPr>
              <w:t>4</w:t>
            </w:r>
            <w:r>
              <w:rPr>
                <w:rStyle w:val="507"/>
                <w:rFonts w:hint="eastAsia" w:ascii="宋体" w:hAnsi="宋体" w:cs="宋体"/>
                <w:szCs w:val="21"/>
              </w:rPr>
              <w:t>.1所组成声场测听室的主要隔声构件、隔声模块板必须具有质检部门出具的检验报告</w:t>
            </w:r>
            <w:r>
              <w:rPr>
                <w:rFonts w:hint="eastAsia" w:ascii="宋体" w:hAnsi="宋体" w:cs="宋体"/>
                <w:bCs/>
                <w:snapToGrid w:val="0"/>
                <w:color w:val="000000"/>
                <w:kern w:val="0"/>
                <w:szCs w:val="21"/>
              </w:rPr>
              <w:t>。</w:t>
            </w:r>
            <w:r>
              <w:rPr>
                <w:rFonts w:hint="eastAsia" w:ascii="宋体" w:hAnsi="宋体" w:cs="宋体"/>
                <w:b/>
                <w:snapToGrid w:val="0"/>
                <w:color w:val="FF0000"/>
                <w:kern w:val="0"/>
                <w:szCs w:val="21"/>
              </w:rPr>
              <w:t>【须提供检测报告】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 w:type="dxa"/>
            <w:noWrap/>
            <w:vAlign w:val="center"/>
          </w:tcPr>
          <w:p>
            <w:pPr>
              <w:spacing w:line="360" w:lineRule="auto"/>
              <w:jc w:val="center"/>
              <w:rPr>
                <w:rFonts w:hint="eastAsia" w:ascii="宋体" w:hAnsi="宋体" w:eastAsia="宋体" w:cs="宋体"/>
                <w:bCs/>
                <w:snapToGrid w:val="0"/>
                <w:color w:val="000000"/>
                <w:kern w:val="0"/>
                <w:szCs w:val="21"/>
                <w:lang w:val="en-US" w:eastAsia="zh-CN"/>
              </w:rPr>
            </w:pPr>
            <w:r>
              <w:rPr>
                <w:rFonts w:hint="eastAsia" w:ascii="宋体" w:hAnsi="宋体" w:cs="宋体"/>
                <w:bCs/>
                <w:snapToGrid w:val="0"/>
                <w:color w:val="000000"/>
                <w:kern w:val="0"/>
                <w:szCs w:val="21"/>
              </w:rPr>
              <w:t>1</w:t>
            </w:r>
            <w:r>
              <w:rPr>
                <w:rFonts w:hint="eastAsia" w:ascii="宋体" w:hAnsi="宋体" w:cs="宋体"/>
                <w:bCs/>
                <w:snapToGrid w:val="0"/>
                <w:color w:val="000000"/>
                <w:kern w:val="0"/>
                <w:szCs w:val="21"/>
                <w:lang w:val="en-US" w:eastAsia="zh-CN"/>
              </w:rPr>
              <w:t>5</w:t>
            </w:r>
          </w:p>
        </w:tc>
        <w:tc>
          <w:tcPr>
            <w:tcW w:w="1482" w:type="dxa"/>
            <w:noWrap/>
            <w:vAlign w:val="center"/>
          </w:tcPr>
          <w:p>
            <w:pPr>
              <w:spacing w:line="360" w:lineRule="auto"/>
              <w:jc w:val="center"/>
              <w:rPr>
                <w:rFonts w:ascii="宋体" w:hAnsi="宋体" w:cs="宋体"/>
                <w:bCs/>
                <w:snapToGrid w:val="0"/>
                <w:color w:val="000000"/>
                <w:kern w:val="0"/>
                <w:szCs w:val="21"/>
              </w:rPr>
            </w:pPr>
            <w:r>
              <w:rPr>
                <w:rStyle w:val="507"/>
                <w:rFonts w:hint="eastAsia" w:ascii="宋体" w:hAnsi="宋体" w:cs="宋体"/>
                <w:szCs w:val="21"/>
              </w:rPr>
              <w:t>产品质量</w:t>
            </w:r>
          </w:p>
        </w:tc>
        <w:tc>
          <w:tcPr>
            <w:tcW w:w="7278" w:type="dxa"/>
            <w:noWrap/>
            <w:vAlign w:val="center"/>
          </w:tcPr>
          <w:p>
            <w:pPr>
              <w:spacing w:line="360" w:lineRule="auto"/>
              <w:rPr>
                <w:rFonts w:ascii="宋体" w:hAnsi="宋体" w:cs="宋体"/>
                <w:bCs/>
                <w:snapToGrid w:val="0"/>
                <w:color w:val="000000"/>
                <w:kern w:val="0"/>
                <w:szCs w:val="21"/>
              </w:rPr>
            </w:pPr>
            <w:r>
              <w:rPr>
                <w:rStyle w:val="507"/>
                <w:rFonts w:hint="eastAsia" w:ascii="宋体" w:hAnsi="宋体" w:cs="宋体"/>
                <w:szCs w:val="21"/>
              </w:rPr>
              <w:t>▲1</w:t>
            </w:r>
            <w:r>
              <w:rPr>
                <w:rStyle w:val="507"/>
                <w:rFonts w:hint="eastAsia" w:ascii="宋体" w:hAnsi="宋体" w:cs="宋体"/>
                <w:szCs w:val="21"/>
                <w:lang w:val="en-US" w:eastAsia="zh-CN"/>
              </w:rPr>
              <w:t>5</w:t>
            </w:r>
            <w:r>
              <w:rPr>
                <w:rStyle w:val="507"/>
                <w:rFonts w:hint="eastAsia" w:ascii="宋体" w:hAnsi="宋体" w:cs="宋体"/>
                <w:szCs w:val="21"/>
              </w:rPr>
              <w:t>.1采购的声场测听室产品及其材料，均符合国家、地方或行业现行有关规范，并具产品质量标准认证证书，符合产品质量标准</w:t>
            </w:r>
            <w:r>
              <w:rPr>
                <w:rFonts w:hint="eastAsia" w:ascii="宋体" w:hAnsi="宋体" w:cs="宋体"/>
                <w:bCs/>
                <w:snapToGrid w:val="0"/>
                <w:color w:val="000000"/>
                <w:kern w:val="0"/>
                <w:szCs w:val="21"/>
              </w:rPr>
              <w:t>。</w:t>
            </w:r>
            <w:r>
              <w:rPr>
                <w:rFonts w:hint="eastAsia" w:ascii="宋体" w:hAnsi="宋体" w:cs="宋体"/>
                <w:b/>
                <w:snapToGrid w:val="0"/>
                <w:color w:val="FF0000"/>
                <w:kern w:val="0"/>
                <w:szCs w:val="21"/>
              </w:rPr>
              <w:t>【须</w:t>
            </w:r>
            <w:r>
              <w:rPr>
                <w:rStyle w:val="507"/>
                <w:rFonts w:hint="eastAsia" w:ascii="宋体" w:hAnsi="宋体" w:cs="宋体"/>
                <w:b/>
                <w:color w:val="FF0000"/>
                <w:szCs w:val="21"/>
              </w:rPr>
              <w:t>提供相关证明资料</w:t>
            </w:r>
            <w:r>
              <w:rPr>
                <w:rFonts w:hint="eastAsia" w:ascii="宋体" w:hAnsi="宋体" w:cs="宋体"/>
                <w:b/>
                <w:snapToGrid w:val="0"/>
                <w:color w:val="FF0000"/>
                <w:kern w:val="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7" w:type="dxa"/>
            <w:noWrap/>
            <w:vAlign w:val="center"/>
          </w:tcPr>
          <w:p>
            <w:pPr>
              <w:spacing w:line="360" w:lineRule="auto"/>
              <w:jc w:val="center"/>
              <w:rPr>
                <w:rFonts w:hint="eastAsia" w:ascii="宋体" w:hAnsi="宋体" w:eastAsia="宋体" w:cs="宋体"/>
                <w:bCs/>
                <w:snapToGrid w:val="0"/>
                <w:color w:val="000000"/>
                <w:kern w:val="0"/>
                <w:szCs w:val="21"/>
                <w:lang w:val="en-US" w:eastAsia="zh-CN"/>
              </w:rPr>
            </w:pPr>
            <w:r>
              <w:rPr>
                <w:rFonts w:hint="eastAsia" w:ascii="宋体" w:hAnsi="宋体" w:cs="宋体"/>
                <w:bCs/>
                <w:snapToGrid w:val="0"/>
                <w:color w:val="000000"/>
                <w:kern w:val="0"/>
                <w:szCs w:val="21"/>
              </w:rPr>
              <w:t>1</w:t>
            </w:r>
            <w:r>
              <w:rPr>
                <w:rFonts w:hint="eastAsia" w:ascii="宋体" w:hAnsi="宋体" w:cs="宋体"/>
                <w:bCs/>
                <w:snapToGrid w:val="0"/>
                <w:color w:val="000000"/>
                <w:kern w:val="0"/>
                <w:szCs w:val="21"/>
                <w:lang w:val="en-US" w:eastAsia="zh-CN"/>
              </w:rPr>
              <w:t>6</w:t>
            </w:r>
          </w:p>
        </w:tc>
        <w:tc>
          <w:tcPr>
            <w:tcW w:w="1482" w:type="dxa"/>
            <w:noWrap/>
            <w:vAlign w:val="center"/>
          </w:tcPr>
          <w:p>
            <w:pPr>
              <w:spacing w:line="360" w:lineRule="auto"/>
              <w:jc w:val="center"/>
              <w:rPr>
                <w:rStyle w:val="507"/>
                <w:rFonts w:ascii="宋体" w:hAnsi="宋体" w:cs="宋体"/>
                <w:szCs w:val="21"/>
              </w:rPr>
            </w:pPr>
            <w:r>
              <w:rPr>
                <w:rStyle w:val="507"/>
                <w:rFonts w:hint="eastAsia" w:ascii="宋体" w:hAnsi="宋体" w:cs="宋体"/>
                <w:szCs w:val="21"/>
              </w:rPr>
              <w:t>材料</w:t>
            </w:r>
          </w:p>
        </w:tc>
        <w:tc>
          <w:tcPr>
            <w:tcW w:w="7278" w:type="dxa"/>
            <w:noWrap/>
            <w:vAlign w:val="center"/>
          </w:tcPr>
          <w:p>
            <w:pPr>
              <w:spacing w:line="360" w:lineRule="auto"/>
              <w:rPr>
                <w:rStyle w:val="507"/>
                <w:rFonts w:ascii="宋体" w:hAnsi="宋体" w:cs="宋体"/>
                <w:szCs w:val="21"/>
              </w:rPr>
            </w:pPr>
            <w:r>
              <w:rPr>
                <w:rStyle w:val="507"/>
                <w:rFonts w:hint="eastAsia" w:ascii="宋体" w:hAnsi="宋体" w:cs="宋体"/>
                <w:szCs w:val="21"/>
              </w:rPr>
              <w:t>1</w:t>
            </w:r>
            <w:r>
              <w:rPr>
                <w:rStyle w:val="507"/>
                <w:rFonts w:hint="eastAsia" w:ascii="宋体" w:hAnsi="宋体" w:cs="宋体"/>
                <w:szCs w:val="21"/>
                <w:lang w:val="en-US" w:eastAsia="zh-CN"/>
              </w:rPr>
              <w:t>6</w:t>
            </w:r>
            <w:r>
              <w:rPr>
                <w:rStyle w:val="507"/>
                <w:rFonts w:hint="eastAsia" w:ascii="宋体" w:hAnsi="宋体" w:cs="宋体"/>
                <w:szCs w:val="21"/>
              </w:rPr>
              <w:t>.1提供所使用的隔音及吸音材料清单，包括材料名称、规格、品牌产地及性能指标等。</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9759"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720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9" w:type="dxa"/>
            <w:tcBorders>
              <w:tl2br w:val="nil"/>
              <w:tr2bl w:val="nil"/>
            </w:tcBorders>
            <w:shd w:val="clear" w:color="auto" w:fill="C6D9F1"/>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序号</w:t>
            </w:r>
          </w:p>
        </w:tc>
        <w:tc>
          <w:tcPr>
            <w:tcW w:w="1843" w:type="dxa"/>
            <w:tcBorders>
              <w:tl2br w:val="nil"/>
              <w:tr2bl w:val="nil"/>
            </w:tcBorders>
            <w:shd w:val="clear" w:color="auto" w:fill="C6D9F1"/>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目录</w:t>
            </w:r>
          </w:p>
        </w:tc>
        <w:tc>
          <w:tcPr>
            <w:tcW w:w="7207" w:type="dxa"/>
            <w:tcBorders>
              <w:tl2br w:val="nil"/>
              <w:tr2bl w:val="nil"/>
            </w:tcBorders>
            <w:shd w:val="clear" w:color="auto" w:fill="C6D9F1"/>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商务要求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759" w:type="dxa"/>
            <w:gridSpan w:val="3"/>
            <w:tcBorders>
              <w:tl2br w:val="nil"/>
              <w:tr2bl w:val="nil"/>
            </w:tcBorders>
            <w:shd w:val="clear" w:color="auto" w:fill="DDD9C3"/>
            <w:noWrap/>
            <w:vAlign w:val="center"/>
          </w:tcPr>
          <w:p>
            <w:pPr>
              <w:spacing w:line="360" w:lineRule="auto"/>
              <w:rPr>
                <w:rFonts w:ascii="宋体" w:hAnsi="宋体" w:cs="宋体"/>
                <w:b/>
                <w:color w:val="000000"/>
                <w:szCs w:val="21"/>
              </w:rPr>
            </w:pPr>
            <w:r>
              <w:rPr>
                <w:rFonts w:hint="eastAsia" w:ascii="宋体" w:hAnsi="宋体" w:cs="宋体"/>
                <w:b/>
                <w:color w:val="000000"/>
                <w:szCs w:val="21"/>
              </w:rPr>
              <w:t>（一）免费保修期内售后服务要求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noWrap/>
            <w:vAlign w:val="center"/>
          </w:tcPr>
          <w:p>
            <w:pPr>
              <w:spacing w:line="360" w:lineRule="auto"/>
              <w:jc w:val="center"/>
              <w:rPr>
                <w:rFonts w:ascii="宋体" w:hAnsi="宋体" w:cs="宋体"/>
                <w:color w:val="000000"/>
                <w:szCs w:val="21"/>
              </w:rPr>
            </w:pPr>
            <w:r>
              <w:rPr>
                <w:rFonts w:hint="eastAsia" w:ascii="宋体" w:hAnsi="宋体" w:cs="宋体"/>
                <w:color w:val="000000"/>
                <w:szCs w:val="21"/>
              </w:rPr>
              <w:t>1</w:t>
            </w:r>
          </w:p>
        </w:tc>
        <w:tc>
          <w:tcPr>
            <w:tcW w:w="1843" w:type="dxa"/>
            <w:tcBorders>
              <w:tl2br w:val="nil"/>
              <w:tr2bl w:val="nil"/>
            </w:tcBorders>
            <w:noWrap/>
            <w:vAlign w:val="center"/>
          </w:tcPr>
          <w:p>
            <w:pPr>
              <w:pStyle w:val="106"/>
              <w:kinsoku w:val="0"/>
              <w:overflowPunct w:val="0"/>
              <w:spacing w:line="360" w:lineRule="auto"/>
              <w:jc w:val="center"/>
              <w:rPr>
                <w:color w:val="000000"/>
                <w:sz w:val="21"/>
                <w:szCs w:val="21"/>
              </w:rPr>
            </w:pPr>
            <w:r>
              <w:rPr>
                <w:rFonts w:hint="eastAsia"/>
                <w:color w:val="000000"/>
                <w:sz w:val="21"/>
                <w:szCs w:val="21"/>
              </w:rPr>
              <w:t>免费保修期</w:t>
            </w:r>
          </w:p>
        </w:tc>
        <w:tc>
          <w:tcPr>
            <w:tcW w:w="7207" w:type="dxa"/>
            <w:tcBorders>
              <w:tl2br w:val="nil"/>
              <w:tr2bl w:val="nil"/>
            </w:tcBorders>
            <w:noWrap/>
            <w:vAlign w:val="center"/>
          </w:tcPr>
          <w:p>
            <w:pPr>
              <w:spacing w:line="360" w:lineRule="auto"/>
              <w:rPr>
                <w:rFonts w:ascii="宋体" w:hAnsi="宋体" w:cs="宋体"/>
                <w:color w:val="000000"/>
                <w:szCs w:val="21"/>
              </w:rPr>
            </w:pPr>
            <w:r>
              <w:rPr>
                <w:rFonts w:hint="eastAsia" w:ascii="宋体" w:hAnsi="宋体" w:cs="宋体"/>
                <w:b/>
                <w:color w:val="000000"/>
                <w:szCs w:val="21"/>
                <w:highlight w:val="yellow"/>
              </w:rPr>
              <w:t>★1.1货物免费保修期</w:t>
            </w:r>
            <w:r>
              <w:rPr>
                <w:rFonts w:hint="eastAsia" w:ascii="宋体" w:hAnsi="宋体" w:cs="宋体"/>
                <w:b/>
                <w:color w:val="000000"/>
                <w:szCs w:val="21"/>
                <w:highlight w:val="yellow"/>
                <w:u w:val="single"/>
              </w:rPr>
              <w:t xml:space="preserve"> 3 </w:t>
            </w:r>
            <w:r>
              <w:rPr>
                <w:rFonts w:hint="eastAsia" w:ascii="宋体" w:hAnsi="宋体" w:cs="宋体"/>
                <w:b/>
                <w:color w:val="000000"/>
                <w:szCs w:val="21"/>
                <w:highlight w:val="yellow"/>
              </w:rPr>
              <w:t>年，时间自最终验收合格并交付使用之日起计算。</w:t>
            </w:r>
            <w:r>
              <w:rPr>
                <w:rFonts w:hint="eastAsia" w:ascii="宋体" w:hAnsi="宋体" w:cs="宋体"/>
                <w:color w:val="000000"/>
                <w:szCs w:val="21"/>
              </w:rPr>
              <w:t>人为损坏另行按行业内低价维修。保修期内,年度定期预防性维护保养次数应不少于  4  次。保修期内免费更换零配件、免工时费。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noWrap/>
            <w:vAlign w:val="center"/>
          </w:tcPr>
          <w:p>
            <w:pPr>
              <w:spacing w:line="360" w:lineRule="auto"/>
              <w:jc w:val="center"/>
              <w:rPr>
                <w:rFonts w:ascii="宋体" w:hAnsi="宋体" w:cs="宋体"/>
                <w:color w:val="000000"/>
                <w:szCs w:val="21"/>
              </w:rPr>
            </w:pPr>
            <w:r>
              <w:rPr>
                <w:rFonts w:hint="eastAsia" w:ascii="宋体" w:hAnsi="宋体" w:cs="宋体"/>
                <w:color w:val="000000"/>
                <w:szCs w:val="21"/>
              </w:rPr>
              <w:t>2</w:t>
            </w:r>
          </w:p>
        </w:tc>
        <w:tc>
          <w:tcPr>
            <w:tcW w:w="1843" w:type="dxa"/>
            <w:tcBorders>
              <w:tl2br w:val="nil"/>
              <w:tr2bl w:val="nil"/>
            </w:tcBorders>
            <w:noWrap/>
            <w:vAlign w:val="center"/>
          </w:tcPr>
          <w:p>
            <w:pPr>
              <w:pStyle w:val="106"/>
              <w:kinsoku w:val="0"/>
              <w:overflowPunct w:val="0"/>
              <w:spacing w:line="360" w:lineRule="auto"/>
              <w:jc w:val="center"/>
              <w:rPr>
                <w:color w:val="000000"/>
                <w:sz w:val="21"/>
                <w:szCs w:val="21"/>
              </w:rPr>
            </w:pPr>
            <w:r>
              <w:rPr>
                <w:rFonts w:hint="eastAsia"/>
                <w:color w:val="000000"/>
                <w:sz w:val="21"/>
                <w:szCs w:val="21"/>
              </w:rPr>
              <w:t>维修响应及故障解决时间</w:t>
            </w:r>
          </w:p>
        </w:tc>
        <w:tc>
          <w:tcPr>
            <w:tcW w:w="7207" w:type="dxa"/>
            <w:tcBorders>
              <w:tl2br w:val="nil"/>
              <w:tr2bl w:val="nil"/>
            </w:tcBorders>
            <w:noWrap/>
            <w:vAlign w:val="center"/>
          </w:tcPr>
          <w:p>
            <w:pPr>
              <w:spacing w:line="360" w:lineRule="auto"/>
              <w:rPr>
                <w:rFonts w:ascii="宋体" w:hAnsi="宋体" w:cs="宋体"/>
                <w:bCs/>
                <w:color w:val="000000"/>
                <w:szCs w:val="21"/>
              </w:rPr>
            </w:pPr>
            <w:r>
              <w:rPr>
                <w:rFonts w:hint="eastAsia" w:ascii="宋体" w:hAnsi="宋体" w:cs="宋体"/>
                <w:bCs/>
                <w:color w:val="000000"/>
                <w:szCs w:val="21"/>
              </w:rPr>
              <w:t>2.1在保修期内，一旦发生质量问题，投标人保证在接到通知</w:t>
            </w:r>
            <w:r>
              <w:rPr>
                <w:rFonts w:hint="eastAsia" w:ascii="宋体" w:hAnsi="宋体" w:cs="宋体"/>
                <w:bCs/>
                <w:color w:val="000000"/>
                <w:szCs w:val="21"/>
                <w:u w:val="single"/>
              </w:rPr>
              <w:t xml:space="preserve"> 24 </w:t>
            </w:r>
            <w:r>
              <w:rPr>
                <w:rFonts w:hint="eastAsia" w:ascii="宋体" w:hAnsi="宋体" w:cs="宋体"/>
                <w:bCs/>
                <w:color w:val="000000"/>
                <w:szCs w:val="21"/>
              </w:rPr>
              <w:t>小时内赶到现场进行修理或更换。消耗品和零配件供应及时，特殊情况下可提供备用机。消耗品和零配件供应及时，特殊情况下可提供备用机。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noWrap/>
            <w:vAlign w:val="center"/>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1843" w:type="dxa"/>
            <w:tcBorders>
              <w:tl2br w:val="nil"/>
              <w:tr2bl w:val="nil"/>
            </w:tcBorders>
            <w:noWrap/>
            <w:vAlign w:val="center"/>
          </w:tcPr>
          <w:p>
            <w:pPr>
              <w:pStyle w:val="106"/>
              <w:kinsoku w:val="0"/>
              <w:overflowPunct w:val="0"/>
              <w:spacing w:line="360" w:lineRule="auto"/>
              <w:jc w:val="center"/>
              <w:rPr>
                <w:color w:val="000000"/>
                <w:sz w:val="21"/>
                <w:szCs w:val="21"/>
              </w:rPr>
            </w:pPr>
            <w:r>
              <w:rPr>
                <w:rFonts w:hint="eastAsia"/>
                <w:color w:val="000000"/>
                <w:sz w:val="21"/>
                <w:szCs w:val="21"/>
              </w:rPr>
              <w:t>其他</w:t>
            </w:r>
          </w:p>
        </w:tc>
        <w:tc>
          <w:tcPr>
            <w:tcW w:w="7207" w:type="dxa"/>
            <w:tcBorders>
              <w:tl2br w:val="nil"/>
              <w:tr2bl w:val="nil"/>
            </w:tcBorders>
            <w:noWrap/>
            <w:vAlign w:val="center"/>
          </w:tcPr>
          <w:p>
            <w:pPr>
              <w:spacing w:line="360" w:lineRule="auto"/>
              <w:rPr>
                <w:rFonts w:ascii="宋体" w:hAnsi="宋体" w:cs="宋体"/>
                <w:bCs/>
                <w:color w:val="000000"/>
                <w:szCs w:val="21"/>
              </w:rPr>
            </w:pPr>
            <w:r>
              <w:rPr>
                <w:rFonts w:hint="eastAsia" w:ascii="宋体" w:hAnsi="宋体" w:cs="宋体"/>
                <w:bCs/>
                <w:color w:val="000000"/>
                <w:szCs w:val="21"/>
              </w:rPr>
              <w:t>3.1投标人应按其投标文件中的承诺，进行其他售后服务工作。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noWrap/>
            <w:vAlign w:val="center"/>
          </w:tcPr>
          <w:p>
            <w:pPr>
              <w:spacing w:line="360" w:lineRule="auto"/>
              <w:jc w:val="center"/>
              <w:rPr>
                <w:rFonts w:ascii="宋体" w:hAnsi="宋体" w:cs="宋体"/>
                <w:color w:val="000000"/>
                <w:szCs w:val="21"/>
              </w:rPr>
            </w:pPr>
            <w:r>
              <w:rPr>
                <w:rFonts w:hint="eastAsia" w:ascii="宋体" w:hAnsi="宋体" w:cs="宋体"/>
                <w:color w:val="000000"/>
                <w:szCs w:val="21"/>
              </w:rPr>
              <w:t>4</w:t>
            </w:r>
          </w:p>
        </w:tc>
        <w:tc>
          <w:tcPr>
            <w:tcW w:w="1843" w:type="dxa"/>
            <w:tcBorders>
              <w:tl2br w:val="nil"/>
              <w:tr2bl w:val="nil"/>
            </w:tcBorders>
            <w:noWrap/>
            <w:vAlign w:val="center"/>
          </w:tcPr>
          <w:p>
            <w:pPr>
              <w:pStyle w:val="106"/>
              <w:kinsoku w:val="0"/>
              <w:overflowPunct w:val="0"/>
              <w:spacing w:line="360" w:lineRule="auto"/>
              <w:jc w:val="center"/>
              <w:rPr>
                <w:color w:val="000000"/>
                <w:sz w:val="21"/>
                <w:szCs w:val="21"/>
              </w:rPr>
            </w:pPr>
            <w:r>
              <w:rPr>
                <w:rFonts w:hint="eastAsia"/>
                <w:color w:val="000000"/>
                <w:sz w:val="21"/>
                <w:szCs w:val="21"/>
              </w:rPr>
              <w:t>售后服务要求</w:t>
            </w:r>
          </w:p>
        </w:tc>
        <w:tc>
          <w:tcPr>
            <w:tcW w:w="7207" w:type="dxa"/>
            <w:tcBorders>
              <w:tl2br w:val="nil"/>
              <w:tr2bl w:val="nil"/>
            </w:tcBorders>
            <w:noWrap/>
            <w:vAlign w:val="center"/>
          </w:tcPr>
          <w:p>
            <w:pPr>
              <w:spacing w:line="360" w:lineRule="auto"/>
              <w:ind w:left="420" w:hanging="420" w:hangingChars="200"/>
              <w:rPr>
                <w:rFonts w:ascii="宋体" w:hAnsi="宋体" w:cs="宋体"/>
                <w:bCs/>
                <w:color w:val="000000"/>
                <w:szCs w:val="21"/>
              </w:rPr>
            </w:pPr>
            <w:r>
              <w:rPr>
                <w:rFonts w:hint="eastAsia" w:ascii="宋体" w:hAnsi="宋体" w:cs="宋体"/>
                <w:bCs/>
                <w:color w:val="000000"/>
                <w:szCs w:val="21"/>
              </w:rPr>
              <w:t>4.1产品全部验收合格后（以技术验收合格签字为标准），供方向需方免费提供3 年上门保修服务。质保期内，如果有因质量问题而引起的损坏，供方应对产品予以维修或更换，全部服务费和更换产品或配件的费用由供方承担，供方如不能修理或不能调换，按产品原价赔偿处理。</w:t>
            </w:r>
          </w:p>
          <w:p>
            <w:pPr>
              <w:spacing w:line="360" w:lineRule="auto"/>
              <w:ind w:left="420" w:hanging="420" w:hangingChars="200"/>
              <w:rPr>
                <w:rFonts w:ascii="宋体" w:hAnsi="宋体" w:cs="宋体"/>
                <w:bCs/>
                <w:color w:val="000000"/>
                <w:szCs w:val="21"/>
              </w:rPr>
            </w:pPr>
            <w:r>
              <w:rPr>
                <w:rFonts w:hint="eastAsia" w:ascii="宋体" w:hAnsi="宋体" w:cs="宋体"/>
                <w:bCs/>
                <w:color w:val="000000"/>
                <w:szCs w:val="21"/>
              </w:rPr>
              <w:t>4.2中标人将向采购人提供优质的售后技术支持服务，开通24小时热线电话接受采购人的电话技术咨询， 24 小时内提供现场服务，待产品运行正常后撤离现场。</w:t>
            </w:r>
          </w:p>
          <w:p>
            <w:pPr>
              <w:spacing w:line="360" w:lineRule="auto"/>
              <w:ind w:left="420" w:hanging="420" w:hangingChars="200"/>
              <w:rPr>
                <w:rFonts w:ascii="宋体" w:hAnsi="宋体" w:cs="宋体"/>
                <w:bCs/>
                <w:color w:val="000000"/>
                <w:szCs w:val="21"/>
              </w:rPr>
            </w:pPr>
            <w:r>
              <w:rPr>
                <w:rFonts w:hint="eastAsia" w:ascii="宋体" w:hAnsi="宋体" w:cs="宋体"/>
                <w:bCs/>
                <w:color w:val="000000"/>
                <w:szCs w:val="21"/>
              </w:rPr>
              <w:t>4.3免费保修期内中标人应对产品予以至少四次巡查、检修，对有问题的进行维修，全部服务费和更换产品或配件的费用均由中标人承担。</w:t>
            </w:r>
          </w:p>
          <w:p>
            <w:pPr>
              <w:spacing w:line="360" w:lineRule="auto"/>
              <w:rPr>
                <w:rFonts w:ascii="宋体" w:hAnsi="宋体" w:cs="宋体"/>
                <w:bCs/>
                <w:color w:val="000000"/>
                <w:szCs w:val="21"/>
              </w:rPr>
            </w:pPr>
            <w:r>
              <w:rPr>
                <w:rFonts w:hint="eastAsia" w:ascii="宋体" w:hAnsi="宋体" w:cs="宋体"/>
                <w:bCs/>
                <w:color w:val="000000"/>
                <w:szCs w:val="21"/>
              </w:rPr>
              <w:t>4.4提供有合理的、有保障的售后服务方案。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noWrap/>
            <w:vAlign w:val="center"/>
          </w:tcPr>
          <w:p>
            <w:pPr>
              <w:spacing w:line="360" w:lineRule="auto"/>
              <w:jc w:val="center"/>
              <w:rPr>
                <w:rFonts w:ascii="宋体" w:hAnsi="宋体" w:cs="宋体"/>
                <w:color w:val="000000"/>
                <w:szCs w:val="21"/>
              </w:rPr>
            </w:pPr>
            <w:r>
              <w:rPr>
                <w:rFonts w:hint="eastAsia" w:ascii="宋体" w:hAnsi="宋体" w:cs="宋体"/>
                <w:color w:val="000000"/>
                <w:szCs w:val="21"/>
              </w:rPr>
              <w:t>5</w:t>
            </w:r>
          </w:p>
        </w:tc>
        <w:tc>
          <w:tcPr>
            <w:tcW w:w="1843" w:type="dxa"/>
            <w:tcBorders>
              <w:tl2br w:val="nil"/>
              <w:tr2bl w:val="nil"/>
            </w:tcBorders>
            <w:noWrap/>
            <w:vAlign w:val="center"/>
          </w:tcPr>
          <w:p>
            <w:pPr>
              <w:pStyle w:val="106"/>
              <w:kinsoku w:val="0"/>
              <w:overflowPunct w:val="0"/>
              <w:spacing w:line="360" w:lineRule="auto"/>
              <w:jc w:val="center"/>
              <w:rPr>
                <w:color w:val="000000"/>
                <w:sz w:val="21"/>
                <w:szCs w:val="21"/>
              </w:rPr>
            </w:pPr>
            <w:r>
              <w:rPr>
                <w:rFonts w:hint="eastAsia"/>
                <w:bCs/>
                <w:color w:val="000000"/>
                <w:sz w:val="21"/>
                <w:szCs w:val="21"/>
              </w:rPr>
              <w:t>免费保修期后</w:t>
            </w:r>
          </w:p>
        </w:tc>
        <w:tc>
          <w:tcPr>
            <w:tcW w:w="7207" w:type="dxa"/>
            <w:tcBorders>
              <w:tl2br w:val="nil"/>
              <w:tr2bl w:val="nil"/>
            </w:tcBorders>
            <w:noWrap/>
            <w:vAlign w:val="center"/>
          </w:tcPr>
          <w:p>
            <w:pPr>
              <w:spacing w:line="360" w:lineRule="auto"/>
              <w:rPr>
                <w:rFonts w:ascii="宋体" w:hAnsi="宋体" w:cs="宋体"/>
                <w:bCs/>
                <w:color w:val="000000"/>
                <w:szCs w:val="21"/>
              </w:rPr>
            </w:pPr>
            <w:r>
              <w:rPr>
                <w:rFonts w:hint="eastAsia" w:ascii="宋体" w:hAnsi="宋体" w:cs="宋体"/>
                <w:bCs/>
                <w:color w:val="000000"/>
                <w:szCs w:val="21"/>
              </w:rPr>
              <w:t>5.1免费保修期后中标人继续支持维修，并按成本价标准收取服务、维修、产品及零件等费用。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759" w:type="dxa"/>
            <w:gridSpan w:val="3"/>
            <w:tcBorders>
              <w:tl2br w:val="nil"/>
              <w:tr2bl w:val="nil"/>
            </w:tcBorders>
            <w:shd w:val="clear" w:color="auto" w:fill="DDD9C3"/>
            <w:noWrap/>
            <w:vAlign w:val="center"/>
          </w:tcPr>
          <w:p>
            <w:pPr>
              <w:spacing w:line="360" w:lineRule="auto"/>
              <w:rPr>
                <w:rFonts w:ascii="宋体" w:hAnsi="宋体" w:cs="宋体"/>
                <w:b/>
                <w:bCs/>
                <w:color w:val="000000"/>
                <w:szCs w:val="21"/>
              </w:rPr>
            </w:pPr>
            <w:r>
              <w:rPr>
                <w:rFonts w:hint="eastAsia" w:ascii="宋体" w:hAnsi="宋体" w:cs="宋体"/>
                <w:b/>
                <w:color w:val="000000"/>
                <w:szCs w:val="21"/>
              </w:rPr>
              <w:t>（二）</w:t>
            </w:r>
            <w:r>
              <w:rPr>
                <w:rFonts w:hint="eastAsia" w:ascii="宋体" w:hAnsi="宋体" w:cs="宋体"/>
                <w:b/>
                <w:bCs/>
                <w:szCs w:val="21"/>
              </w:rPr>
              <w:t>其他商务要求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noWrap/>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c>
          <w:tcPr>
            <w:tcW w:w="1843" w:type="dxa"/>
            <w:tcBorders>
              <w:tl2br w:val="nil"/>
              <w:tr2bl w:val="nil"/>
            </w:tcBorders>
            <w:noWrap/>
            <w:vAlign w:val="center"/>
          </w:tcPr>
          <w:p>
            <w:pPr>
              <w:spacing w:line="360" w:lineRule="auto"/>
              <w:jc w:val="center"/>
              <w:rPr>
                <w:rFonts w:ascii="宋体" w:hAnsi="宋体" w:cs="宋体"/>
                <w:szCs w:val="21"/>
                <w:lang w:val="zh-CN" w:bidi="zh-CN"/>
              </w:rPr>
            </w:pPr>
            <w:r>
              <w:rPr>
                <w:rFonts w:hint="eastAsia" w:ascii="宋体" w:hAnsi="宋体" w:cs="宋体"/>
                <w:szCs w:val="21"/>
                <w:lang w:val="zh-CN" w:bidi="zh-CN"/>
              </w:rPr>
              <w:t>关于交货</w:t>
            </w:r>
          </w:p>
        </w:tc>
        <w:tc>
          <w:tcPr>
            <w:tcW w:w="7207" w:type="dxa"/>
            <w:tcBorders>
              <w:tl2br w:val="nil"/>
              <w:tr2bl w:val="nil"/>
            </w:tcBorders>
            <w:noWrap/>
            <w:vAlign w:val="center"/>
          </w:tcPr>
          <w:p>
            <w:pPr>
              <w:spacing w:line="360" w:lineRule="auto"/>
              <w:ind w:left="422" w:hanging="422" w:hangingChars="200"/>
              <w:rPr>
                <w:rFonts w:ascii="宋体" w:hAnsi="宋体" w:cs="宋体"/>
                <w:bCs/>
                <w:color w:val="000000"/>
                <w:szCs w:val="21"/>
              </w:rPr>
            </w:pPr>
            <w:r>
              <w:rPr>
                <w:rFonts w:hint="eastAsia" w:ascii="宋体" w:hAnsi="宋体" w:cs="宋体"/>
                <w:b/>
                <w:color w:val="000000"/>
                <w:szCs w:val="21"/>
                <w:highlight w:val="yellow"/>
              </w:rPr>
              <w:t>★1.1签订合同后</w:t>
            </w:r>
            <w:r>
              <w:rPr>
                <w:rFonts w:hint="eastAsia" w:ascii="宋体" w:hAnsi="宋体" w:cs="宋体"/>
                <w:b/>
                <w:color w:val="000000"/>
                <w:szCs w:val="21"/>
                <w:highlight w:val="yellow"/>
                <w:u w:val="single"/>
              </w:rPr>
              <w:t xml:space="preserve"> 45</w:t>
            </w:r>
            <w:r>
              <w:rPr>
                <w:rFonts w:hint="eastAsia" w:ascii="宋体" w:hAnsi="宋体" w:cs="宋体"/>
                <w:b/>
                <w:color w:val="000000"/>
                <w:szCs w:val="21"/>
                <w:highlight w:val="yellow"/>
              </w:rPr>
              <w:t>天（日历日）内完成供货。</w:t>
            </w:r>
            <w:r>
              <w:rPr>
                <w:rFonts w:hint="eastAsia" w:ascii="宋体" w:hAnsi="宋体" w:cs="宋体"/>
                <w:bCs/>
                <w:color w:val="000000"/>
                <w:szCs w:val="21"/>
              </w:rPr>
              <w:t>产品的附件、备品备件及专用工具应随产品一同交付（以下几种情况，交货期经双方协商可以顺延：对于研制设备，研制过程中出现特殊情况。</w:t>
            </w:r>
          </w:p>
          <w:p>
            <w:pPr>
              <w:spacing w:line="360" w:lineRule="auto"/>
              <w:ind w:left="420" w:hanging="420" w:hangingChars="200"/>
              <w:rPr>
                <w:rFonts w:ascii="宋体" w:hAnsi="宋体" w:cs="宋体"/>
                <w:bCs/>
                <w:color w:val="000000"/>
                <w:szCs w:val="21"/>
              </w:rPr>
            </w:pPr>
            <w:r>
              <w:rPr>
                <w:rFonts w:hint="eastAsia" w:ascii="宋体" w:hAnsi="宋体" w:cs="宋体"/>
                <w:bCs/>
                <w:color w:val="000000"/>
                <w:szCs w:val="21"/>
              </w:rPr>
              <w:t>1.2 交货地点：采购人指定地点。</w:t>
            </w:r>
          </w:p>
          <w:p>
            <w:pPr>
              <w:spacing w:line="360" w:lineRule="auto"/>
              <w:ind w:left="420" w:hanging="420" w:hangingChars="200"/>
              <w:rPr>
                <w:rFonts w:ascii="宋体" w:hAnsi="宋体" w:cs="宋体"/>
                <w:bCs/>
                <w:color w:val="000000"/>
                <w:szCs w:val="21"/>
              </w:rPr>
            </w:pPr>
            <w:r>
              <w:rPr>
                <w:rFonts w:hint="eastAsia" w:ascii="宋体" w:hAnsi="宋体" w:cs="宋体"/>
                <w:bCs/>
                <w:color w:val="000000"/>
                <w:szCs w:val="21"/>
              </w:rPr>
              <w:t>1.3中标人必须承担货物运输（按平面布置图摆放到位）、安装调试、验收检测和提供操作说明书、图纸等其他类似的义务。</w:t>
            </w:r>
          </w:p>
          <w:p>
            <w:pPr>
              <w:spacing w:line="360" w:lineRule="auto"/>
              <w:ind w:left="420" w:hanging="420" w:hangingChars="200"/>
              <w:rPr>
                <w:rFonts w:ascii="宋体" w:hAnsi="宋体" w:cs="宋体"/>
                <w:bCs/>
                <w:color w:val="000000"/>
                <w:szCs w:val="21"/>
              </w:rPr>
            </w:pPr>
            <w:r>
              <w:rPr>
                <w:rFonts w:hint="eastAsia" w:ascii="宋体" w:hAnsi="宋体" w:cs="宋体"/>
                <w:bCs/>
                <w:color w:val="000000"/>
                <w:szCs w:val="21"/>
              </w:rPr>
              <w:t>1.4中标人需承担完善安装所需的天</w:t>
            </w:r>
            <w:r>
              <w:rPr>
                <w:rFonts w:hint="eastAsia" w:ascii="宋体" w:hAnsi="宋体" w:cs="宋体"/>
                <w:bCs/>
                <w:color w:val="000000"/>
                <w:szCs w:val="21"/>
                <w:lang w:eastAsia="zh-CN"/>
              </w:rPr>
              <w:t>面、墙面</w:t>
            </w:r>
            <w:r>
              <w:rPr>
                <w:rFonts w:hint="eastAsia" w:ascii="宋体" w:hAnsi="宋体" w:cs="宋体"/>
                <w:bCs/>
                <w:color w:val="000000"/>
                <w:szCs w:val="21"/>
              </w:rPr>
              <w:t>、地线、电等设施改造</w:t>
            </w:r>
            <w:r>
              <w:rPr>
                <w:rFonts w:hint="eastAsia" w:ascii="宋体" w:hAnsi="宋体" w:cs="宋体"/>
                <w:bCs/>
                <w:color w:val="auto"/>
                <w:szCs w:val="21"/>
                <w:lang w:eastAsia="zh-CN"/>
              </w:rPr>
              <w:t>（须有相应施工资质）</w:t>
            </w:r>
            <w:r>
              <w:rPr>
                <w:rFonts w:hint="eastAsia" w:ascii="宋体" w:hAnsi="宋体" w:cs="宋体"/>
                <w:bCs/>
                <w:color w:val="000000"/>
                <w:szCs w:val="21"/>
              </w:rPr>
              <w:t>。安装过程中涉及的拆除项为保护性拆除，完工必须进行消防、水电等检测。存在问题由中标人承担责任，负责恢复及赔偿。投标单位投标前自行核定量，有出入，可提出质疑，如未提出，视同认可。</w:t>
            </w:r>
          </w:p>
          <w:p>
            <w:pPr>
              <w:spacing w:line="360" w:lineRule="auto"/>
              <w:ind w:left="420" w:hanging="420" w:hangingChars="200"/>
              <w:rPr>
                <w:rFonts w:ascii="宋体" w:hAnsi="宋体" w:cs="宋体"/>
                <w:bCs/>
                <w:color w:val="000000"/>
                <w:szCs w:val="21"/>
              </w:rPr>
            </w:pPr>
            <w:r>
              <w:rPr>
                <w:rFonts w:hint="eastAsia" w:ascii="宋体" w:hAnsi="宋体" w:cs="宋体"/>
                <w:bCs/>
                <w:color w:val="000000"/>
                <w:szCs w:val="21"/>
              </w:rPr>
              <w:t>1.5中标人无条件接受采购人在整个产品生产过程中的监督。如发现中标人无能力完成该批货物生产、用料、工艺不符合技术规范要求。采购人有权废标或中止合同，由此带来的损失由中标人自负，并报政府采购主管部门进行相应处罚，采购方保留追究因此对采购方造成影响、损失的权力。</w:t>
            </w:r>
          </w:p>
          <w:p>
            <w:pPr>
              <w:spacing w:line="360" w:lineRule="auto"/>
              <w:ind w:left="420" w:hanging="420" w:hangingChars="200"/>
              <w:rPr>
                <w:rFonts w:ascii="宋体" w:hAnsi="宋体" w:cs="宋体"/>
                <w:bCs/>
                <w:color w:val="000000"/>
                <w:szCs w:val="21"/>
              </w:rPr>
            </w:pPr>
            <w:r>
              <w:rPr>
                <w:rFonts w:hint="eastAsia" w:ascii="宋体" w:hAnsi="宋体" w:cs="宋体"/>
                <w:bCs/>
                <w:color w:val="000000"/>
                <w:szCs w:val="21"/>
              </w:rPr>
              <w:t>1.6安装时，中标方需完全满足</w:t>
            </w:r>
            <w:r>
              <w:rPr>
                <w:rFonts w:hint="eastAsia" w:ascii="宋体" w:hAnsi="宋体" w:cs="宋体"/>
                <w:bCs/>
                <w:color w:val="000000"/>
                <w:szCs w:val="21"/>
                <w:lang w:eastAsia="zh-CN"/>
              </w:rPr>
              <w:t>采购</w:t>
            </w:r>
            <w:r>
              <w:rPr>
                <w:rFonts w:hint="eastAsia" w:ascii="宋体" w:hAnsi="宋体" w:cs="宋体"/>
                <w:bCs/>
                <w:color w:val="000000"/>
                <w:szCs w:val="21"/>
              </w:rPr>
              <w:t>方需求。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noWrap/>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2</w:t>
            </w:r>
          </w:p>
        </w:tc>
        <w:tc>
          <w:tcPr>
            <w:tcW w:w="1843" w:type="dxa"/>
            <w:tcBorders>
              <w:tl2br w:val="nil"/>
              <w:tr2bl w:val="nil"/>
            </w:tcBorders>
            <w:noWrap/>
            <w:vAlign w:val="center"/>
          </w:tcPr>
          <w:p>
            <w:pPr>
              <w:spacing w:line="360" w:lineRule="auto"/>
              <w:jc w:val="center"/>
              <w:rPr>
                <w:rFonts w:ascii="宋体" w:hAnsi="宋体" w:cs="宋体"/>
                <w:szCs w:val="21"/>
                <w:lang w:val="zh-CN" w:bidi="zh-CN"/>
              </w:rPr>
            </w:pPr>
            <w:r>
              <w:rPr>
                <w:rFonts w:hint="eastAsia" w:ascii="宋体" w:hAnsi="宋体" w:cs="宋体"/>
                <w:szCs w:val="21"/>
                <w:lang w:val="zh-CN" w:bidi="zh-CN"/>
              </w:rPr>
              <w:t>关于验收</w:t>
            </w:r>
          </w:p>
        </w:tc>
        <w:tc>
          <w:tcPr>
            <w:tcW w:w="7207" w:type="dxa"/>
            <w:tcBorders>
              <w:tl2br w:val="nil"/>
              <w:tr2bl w:val="nil"/>
            </w:tcBorders>
            <w:noWrap/>
            <w:vAlign w:val="center"/>
          </w:tcPr>
          <w:p>
            <w:pPr>
              <w:spacing w:line="360" w:lineRule="auto"/>
              <w:ind w:left="420" w:hanging="420" w:hangingChars="200"/>
              <w:rPr>
                <w:rFonts w:ascii="宋体" w:hAnsi="宋体" w:cs="宋体"/>
                <w:bCs/>
                <w:color w:val="000000"/>
                <w:szCs w:val="21"/>
              </w:rPr>
            </w:pPr>
            <w:r>
              <w:rPr>
                <w:rFonts w:hint="eastAsia" w:ascii="宋体" w:hAnsi="宋体" w:cs="宋体"/>
                <w:bCs/>
                <w:color w:val="000000"/>
                <w:szCs w:val="21"/>
              </w:rPr>
              <w:t>2.1中标人货物经过具资的第三方出具合格的检测报告及验收合格报告。双方认可后，签署验收报告，由中标人提供货物质保及免费保修文件。</w:t>
            </w:r>
          </w:p>
          <w:p>
            <w:pPr>
              <w:spacing w:line="360" w:lineRule="auto"/>
              <w:rPr>
                <w:rFonts w:ascii="宋体" w:hAnsi="宋体" w:cs="宋体"/>
                <w:bCs/>
                <w:color w:val="000000"/>
                <w:szCs w:val="21"/>
                <w:lang w:bidi="zh-CN"/>
              </w:rPr>
            </w:pPr>
            <w:r>
              <w:rPr>
                <w:rFonts w:hint="eastAsia" w:ascii="宋体" w:hAnsi="宋体" w:cs="宋体"/>
                <w:bCs/>
                <w:color w:val="000000"/>
                <w:szCs w:val="21"/>
                <w:lang w:bidi="zh-CN"/>
              </w:rPr>
              <w:t>2.2当满足以下条件时，采购人才向中标人签发货物验收报告：</w:t>
            </w:r>
          </w:p>
          <w:p>
            <w:pPr>
              <w:spacing w:line="360" w:lineRule="auto"/>
              <w:ind w:firstLine="420" w:firstLineChars="200"/>
              <w:rPr>
                <w:rFonts w:ascii="宋体" w:hAnsi="宋体" w:cs="宋体"/>
                <w:bCs/>
                <w:color w:val="000000"/>
                <w:szCs w:val="21"/>
                <w:lang w:bidi="zh-CN"/>
              </w:rPr>
            </w:pPr>
            <w:r>
              <w:rPr>
                <w:rFonts w:hint="eastAsia" w:ascii="宋体" w:hAnsi="宋体" w:cs="宋体"/>
                <w:bCs/>
                <w:color w:val="000000"/>
                <w:szCs w:val="21"/>
                <w:lang w:bidi="zh-CN"/>
              </w:rPr>
              <w:t>a、中标人已按照合同规定提供了全部产品及完整的技术资料。</w:t>
            </w:r>
          </w:p>
          <w:p>
            <w:pPr>
              <w:spacing w:line="360" w:lineRule="auto"/>
              <w:ind w:firstLine="420" w:firstLineChars="200"/>
              <w:rPr>
                <w:rFonts w:ascii="宋体" w:hAnsi="宋体" w:cs="宋体"/>
                <w:bCs/>
                <w:color w:val="000000"/>
                <w:szCs w:val="21"/>
                <w:lang w:bidi="zh-CN"/>
              </w:rPr>
            </w:pPr>
            <w:r>
              <w:rPr>
                <w:rFonts w:hint="eastAsia" w:ascii="宋体" w:hAnsi="宋体" w:cs="宋体"/>
                <w:bCs/>
                <w:color w:val="000000"/>
                <w:szCs w:val="21"/>
                <w:lang w:bidi="zh-CN"/>
              </w:rPr>
              <w:t>b、货物符合招标文件技术规格书的要求，性能满足要求。</w:t>
            </w:r>
          </w:p>
          <w:p>
            <w:pPr>
              <w:spacing w:line="360" w:lineRule="auto"/>
              <w:ind w:firstLine="420" w:firstLineChars="200"/>
              <w:rPr>
                <w:rFonts w:ascii="宋体" w:hAnsi="宋体" w:cs="宋体"/>
                <w:bCs/>
                <w:color w:val="000000"/>
                <w:szCs w:val="21"/>
              </w:rPr>
            </w:pPr>
            <w:r>
              <w:rPr>
                <w:rFonts w:hint="eastAsia" w:ascii="宋体" w:hAnsi="宋体" w:cs="宋体"/>
                <w:bCs/>
                <w:color w:val="000000"/>
                <w:szCs w:val="21"/>
              </w:rPr>
              <w:t>c、货物具备产品合格证。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noWrap/>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3</w:t>
            </w:r>
          </w:p>
        </w:tc>
        <w:tc>
          <w:tcPr>
            <w:tcW w:w="1843" w:type="dxa"/>
            <w:tcBorders>
              <w:tl2br w:val="nil"/>
              <w:tr2bl w:val="nil"/>
            </w:tcBorders>
            <w:noWrap/>
            <w:vAlign w:val="center"/>
          </w:tcPr>
          <w:p>
            <w:pPr>
              <w:spacing w:line="360" w:lineRule="auto"/>
              <w:jc w:val="center"/>
              <w:rPr>
                <w:rFonts w:ascii="宋体" w:hAnsi="宋体" w:cs="宋体"/>
                <w:szCs w:val="21"/>
                <w:lang w:val="zh-CN" w:bidi="zh-CN"/>
              </w:rPr>
            </w:pPr>
            <w:r>
              <w:rPr>
                <w:rFonts w:hint="eastAsia" w:ascii="宋体" w:hAnsi="宋体" w:cs="宋体"/>
                <w:szCs w:val="21"/>
                <w:lang w:val="zh-CN" w:bidi="zh-CN"/>
              </w:rPr>
              <w:t>质保金</w:t>
            </w:r>
          </w:p>
        </w:tc>
        <w:tc>
          <w:tcPr>
            <w:tcW w:w="7207" w:type="dxa"/>
            <w:tcBorders>
              <w:tl2br w:val="nil"/>
              <w:tr2bl w:val="nil"/>
            </w:tcBorders>
            <w:noWrap/>
            <w:vAlign w:val="center"/>
          </w:tcPr>
          <w:p>
            <w:pPr>
              <w:spacing w:line="360" w:lineRule="auto"/>
              <w:rPr>
                <w:rFonts w:ascii="宋体" w:hAnsi="宋体" w:cs="宋体"/>
                <w:bCs/>
                <w:color w:val="000000"/>
                <w:szCs w:val="21"/>
              </w:rPr>
            </w:pPr>
            <w:r>
              <w:rPr>
                <w:rFonts w:hint="eastAsia" w:ascii="宋体" w:hAnsi="宋体" w:cs="宋体"/>
                <w:szCs w:val="21"/>
              </w:rPr>
              <w:t>3.1结算时留合同价款的5%作为质保金</w:t>
            </w:r>
            <w:r>
              <w:rPr>
                <w:rFonts w:hint="eastAsia" w:ascii="宋体" w:hAnsi="宋体" w:cs="宋体"/>
                <w:bCs/>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noWrap/>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4</w:t>
            </w:r>
          </w:p>
        </w:tc>
        <w:tc>
          <w:tcPr>
            <w:tcW w:w="1843" w:type="dxa"/>
            <w:tcBorders>
              <w:tl2br w:val="nil"/>
              <w:tr2bl w:val="nil"/>
            </w:tcBorders>
            <w:noWrap/>
            <w:vAlign w:val="center"/>
          </w:tcPr>
          <w:p>
            <w:pPr>
              <w:spacing w:line="360" w:lineRule="auto"/>
              <w:jc w:val="center"/>
              <w:rPr>
                <w:rFonts w:ascii="宋体" w:hAnsi="宋体" w:cs="宋体"/>
                <w:color w:val="000000"/>
                <w:szCs w:val="21"/>
              </w:rPr>
            </w:pPr>
            <w:r>
              <w:rPr>
                <w:rFonts w:hint="eastAsia" w:ascii="宋体" w:hAnsi="宋体" w:cs="宋体"/>
                <w:color w:val="000000"/>
                <w:szCs w:val="21"/>
              </w:rPr>
              <w:t>违约处罚</w:t>
            </w:r>
          </w:p>
        </w:tc>
        <w:tc>
          <w:tcPr>
            <w:tcW w:w="7207" w:type="dxa"/>
            <w:tcBorders>
              <w:tl2br w:val="nil"/>
              <w:tr2bl w:val="nil"/>
            </w:tcBorders>
            <w:noWrap/>
            <w:vAlign w:val="center"/>
          </w:tcPr>
          <w:p>
            <w:pPr>
              <w:spacing w:line="360" w:lineRule="auto"/>
              <w:ind w:left="420" w:hanging="420" w:hangingChars="200"/>
              <w:rPr>
                <w:rFonts w:ascii="宋体" w:hAnsi="宋体" w:cs="宋体"/>
                <w:color w:val="000000"/>
                <w:szCs w:val="21"/>
              </w:rPr>
            </w:pPr>
            <w:r>
              <w:rPr>
                <w:rFonts w:hint="eastAsia" w:ascii="宋体" w:hAnsi="宋体" w:cs="宋体"/>
                <w:color w:val="000000"/>
                <w:szCs w:val="21"/>
              </w:rPr>
              <w:t>4.1</w:t>
            </w:r>
            <w:r>
              <w:rPr>
                <w:rFonts w:hint="eastAsia" w:ascii="宋体" w:hAnsi="宋体" w:cs="宋体"/>
                <w:bCs/>
                <w:color w:val="000000"/>
                <w:szCs w:val="21"/>
              </w:rPr>
              <w:t>因中标人货物检测不合格、生产力不足等原因导致交货期超出约定日期的，采购人根据超出时间按合同总价款的</w:t>
            </w:r>
            <w:r>
              <w:rPr>
                <w:rFonts w:hint="eastAsia" w:ascii="宋体" w:hAnsi="宋体" w:cs="宋体"/>
                <w:bCs/>
                <w:color w:val="000000"/>
                <w:szCs w:val="21"/>
                <w:u w:val="single"/>
              </w:rPr>
              <w:t xml:space="preserve"> 5‰/天 </w:t>
            </w:r>
            <w:r>
              <w:rPr>
                <w:rFonts w:hint="eastAsia" w:ascii="宋体" w:hAnsi="宋体" w:cs="宋体"/>
                <w:bCs/>
                <w:color w:val="000000"/>
                <w:szCs w:val="21"/>
              </w:rPr>
              <w:t>，最高不超过合同总价款的30%</w:t>
            </w:r>
            <w:r>
              <w:rPr>
                <w:rFonts w:hint="eastAsia" w:ascii="宋体" w:hAnsi="宋体" w:cs="宋体"/>
                <w:color w:val="000000"/>
                <w:szCs w:val="21"/>
              </w:rPr>
              <w:t>。</w:t>
            </w:r>
          </w:p>
          <w:p>
            <w:pPr>
              <w:pStyle w:val="106"/>
              <w:kinsoku w:val="0"/>
              <w:overflowPunct w:val="0"/>
              <w:spacing w:line="360" w:lineRule="auto"/>
              <w:ind w:left="420" w:hanging="420" w:hangingChars="200"/>
              <w:rPr>
                <w:color w:val="000000"/>
                <w:sz w:val="21"/>
                <w:szCs w:val="21"/>
              </w:rPr>
            </w:pPr>
            <w:r>
              <w:rPr>
                <w:rFonts w:hint="eastAsia"/>
                <w:color w:val="000000"/>
                <w:sz w:val="21"/>
                <w:szCs w:val="21"/>
              </w:rPr>
              <w:t>4.2</w:t>
            </w:r>
            <w:r>
              <w:rPr>
                <w:rFonts w:hint="eastAsia"/>
                <w:bCs/>
                <w:color w:val="000000"/>
                <w:sz w:val="21"/>
                <w:szCs w:val="21"/>
              </w:rPr>
              <w:t>如检测不合格的，中标人必须按合同要求进行整改，在未完成整改之前，采购人有权拒绝支付任何费用，且不退货，直到按合同要求整改完成</w:t>
            </w:r>
            <w:r>
              <w:rPr>
                <w:rFonts w:hint="eastAsia"/>
                <w:color w:val="000000"/>
                <w:sz w:val="21"/>
                <w:szCs w:val="21"/>
              </w:rPr>
              <w:t>。</w:t>
            </w:r>
          </w:p>
          <w:p>
            <w:pPr>
              <w:pStyle w:val="106"/>
              <w:kinsoku w:val="0"/>
              <w:overflowPunct w:val="0"/>
              <w:spacing w:line="360" w:lineRule="auto"/>
              <w:ind w:left="420" w:hanging="420" w:hangingChars="200"/>
              <w:rPr>
                <w:color w:val="000000"/>
                <w:sz w:val="21"/>
                <w:szCs w:val="21"/>
              </w:rPr>
            </w:pPr>
            <w:r>
              <w:rPr>
                <w:rFonts w:hint="eastAsia"/>
                <w:color w:val="000000"/>
                <w:sz w:val="21"/>
                <w:szCs w:val="21"/>
              </w:rPr>
              <w:t>4.3中标人在中标通知书要求的期限内不与采购人洽谈合同，在中标通知书发出10个工作日内不签订合同，视同自动放弃，采购人有权废标，上报政府采购部门，重新招标，并保留追究责任，要求赔偿的权力。</w:t>
            </w:r>
          </w:p>
          <w:p>
            <w:pPr>
              <w:pStyle w:val="106"/>
              <w:kinsoku w:val="0"/>
              <w:overflowPunct w:val="0"/>
              <w:spacing w:line="360" w:lineRule="auto"/>
              <w:ind w:left="422" w:hanging="422" w:hangingChars="200"/>
              <w:rPr>
                <w:color w:val="000000"/>
                <w:sz w:val="21"/>
                <w:szCs w:val="21"/>
              </w:rPr>
            </w:pPr>
            <w:r>
              <w:rPr>
                <w:rFonts w:hint="eastAsia"/>
                <w:b/>
                <w:sz w:val="21"/>
                <w:szCs w:val="21"/>
                <w:highlight w:val="yellow"/>
              </w:rPr>
              <w:t>★4.4</w:t>
            </w:r>
            <w:r>
              <w:rPr>
                <w:rFonts w:hint="eastAsia"/>
                <w:b/>
                <w:color w:val="000000"/>
                <w:sz w:val="21"/>
                <w:szCs w:val="21"/>
                <w:highlight w:val="yellow"/>
              </w:rPr>
              <w:t>产品总重量超过的，中标方承担因此引发的所有后果。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l2br w:val="nil"/>
              <w:tr2bl w:val="nil"/>
            </w:tcBorders>
            <w:noWrap/>
            <w:vAlign w:val="center"/>
          </w:tcPr>
          <w:p>
            <w:pPr>
              <w:spacing w:line="360" w:lineRule="auto"/>
              <w:jc w:val="center"/>
              <w:rPr>
                <w:rFonts w:ascii="宋体" w:hAnsi="宋体" w:cs="宋体"/>
                <w:color w:val="000000"/>
                <w:szCs w:val="21"/>
              </w:rPr>
            </w:pPr>
            <w:r>
              <w:rPr>
                <w:rFonts w:hint="eastAsia" w:ascii="宋体" w:hAnsi="宋体" w:cs="宋体"/>
                <w:color w:val="000000"/>
                <w:szCs w:val="21"/>
              </w:rPr>
              <w:t>5</w:t>
            </w:r>
          </w:p>
        </w:tc>
        <w:tc>
          <w:tcPr>
            <w:tcW w:w="1843" w:type="dxa"/>
            <w:tcBorders>
              <w:tl2br w:val="nil"/>
              <w:tr2bl w:val="nil"/>
            </w:tcBorders>
            <w:noWrap/>
            <w:vAlign w:val="center"/>
          </w:tcPr>
          <w:p>
            <w:pPr>
              <w:spacing w:line="360" w:lineRule="auto"/>
              <w:jc w:val="center"/>
              <w:rPr>
                <w:rFonts w:ascii="宋体" w:hAnsi="宋体" w:cs="宋体"/>
                <w:color w:val="000000"/>
                <w:szCs w:val="21"/>
              </w:rPr>
            </w:pPr>
            <w:r>
              <w:rPr>
                <w:rFonts w:hint="eastAsia" w:ascii="宋体" w:hAnsi="宋体" w:cs="宋体"/>
                <w:szCs w:val="21"/>
              </w:rPr>
              <w:t>付款方式</w:t>
            </w:r>
          </w:p>
        </w:tc>
        <w:tc>
          <w:tcPr>
            <w:tcW w:w="7207" w:type="dxa"/>
            <w:tcBorders>
              <w:tl2br w:val="nil"/>
              <w:tr2bl w:val="nil"/>
            </w:tcBorders>
            <w:noWrap/>
            <w:vAlign w:val="center"/>
          </w:tcPr>
          <w:p>
            <w:pPr>
              <w:pStyle w:val="106"/>
              <w:kinsoku w:val="0"/>
              <w:overflowPunct w:val="0"/>
              <w:spacing w:line="360" w:lineRule="auto"/>
              <w:ind w:left="420" w:hanging="420" w:hangingChars="200"/>
              <w:rPr>
                <w:color w:val="000000"/>
                <w:sz w:val="21"/>
                <w:szCs w:val="21"/>
              </w:rPr>
            </w:pPr>
            <w:r>
              <w:rPr>
                <w:rFonts w:hint="eastAsia"/>
                <w:sz w:val="21"/>
                <w:szCs w:val="21"/>
              </w:rPr>
              <w:t>5.1</w:t>
            </w:r>
            <w:r>
              <w:rPr>
                <w:rFonts w:hint="eastAsia"/>
                <w:bCs/>
                <w:color w:val="000000"/>
                <w:sz w:val="21"/>
                <w:szCs w:val="21"/>
              </w:rPr>
              <w:t>在项目全部货物完成安装及顺利验收合格后即采购人签署验收报告后，支付结算款的95%，留5%作为质保金。中标人应按期向采购人提交正规税务发票，作为付款的前提条件。</w:t>
            </w:r>
          </w:p>
          <w:p>
            <w:pPr>
              <w:pStyle w:val="106"/>
              <w:kinsoku w:val="0"/>
              <w:overflowPunct w:val="0"/>
              <w:spacing w:line="360" w:lineRule="auto"/>
              <w:ind w:left="420" w:hanging="420" w:hangingChars="200"/>
              <w:rPr>
                <w:color w:val="000000"/>
                <w:sz w:val="21"/>
                <w:szCs w:val="21"/>
              </w:rPr>
            </w:pPr>
            <w:r>
              <w:rPr>
                <w:rFonts w:hint="eastAsia"/>
                <w:color w:val="000000"/>
                <w:sz w:val="21"/>
                <w:szCs w:val="21"/>
              </w:rPr>
              <w:t>5.2货物装机验收合格满三年后，如无质量问题，由中标人申请并提交相关资料，经采购人审核手续资料齐全后，采购人无息退还质保金给中标人。</w:t>
            </w:r>
          </w:p>
        </w:tc>
      </w:tr>
    </w:tbl>
    <w:p/>
    <w:p/>
    <w:p>
      <w:pPr>
        <w:widowControl/>
        <w:jc w:val="left"/>
      </w:pPr>
    </w:p>
    <w:p>
      <w:pPr>
        <w:widowControl/>
        <w:jc w:val="left"/>
      </w:pPr>
      <w:r>
        <w:br w:type="page"/>
      </w:r>
    </w:p>
    <w:p/>
    <w:p>
      <w:pPr>
        <w:pStyle w:val="3"/>
      </w:pPr>
      <w:bookmarkStart w:id="2" w:name="_Toc29936"/>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3"/>
        <w:spacing w:afterLines="100"/>
      </w:pPr>
      <w:bookmarkStart w:id="3" w:name="_Toc7853"/>
      <w:r>
        <w:rPr>
          <w:rFonts w:hint="eastAsia"/>
        </w:rPr>
        <w:t>第四章  评标方法和标准</w:t>
      </w:r>
      <w:bookmarkEnd w:id="3"/>
    </w:p>
    <w:p>
      <w:pPr>
        <w:pStyle w:val="5"/>
        <w:spacing w:before="0" w:after="0"/>
      </w:pPr>
      <w:bookmarkStart w:id="4" w:name="_Toc44690702"/>
      <w:bookmarkStart w:id="5" w:name="_Toc44691393"/>
      <w:bookmarkStart w:id="6" w:name="_Toc44690429"/>
      <w:bookmarkStart w:id="7" w:name="_Toc14249"/>
      <w:bookmarkStart w:id="8" w:name="_Toc44691161"/>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24528"/>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keepNext w:val="0"/>
              <w:keepLines w:val="0"/>
              <w:pageBreakBefore w:val="0"/>
              <w:widowControl/>
              <w:kinsoku/>
              <w:wordWrap/>
              <w:overflowPunct/>
              <w:topLinePunct w:val="0"/>
              <w:bidi w:val="0"/>
              <w:spacing w:line="360" w:lineRule="auto"/>
              <w:jc w:val="left"/>
              <w:textAlignment w:val="auto"/>
              <w:rPr>
                <w:rFonts w:ascii="宋体" w:hAnsi="宋体" w:cs="仿宋"/>
                <w:szCs w:val="21"/>
              </w:rPr>
            </w:pPr>
            <w:r>
              <w:rPr>
                <w:rFonts w:hint="eastAsia" w:ascii="宋体" w:hAnsi="宋体" w:cs="仿宋"/>
                <w:szCs w:val="21"/>
              </w:rPr>
              <w:t>价格分采用低价优先法计算，即满足招标文件要求且投标价格最低的投标报价为评标基准价，其价格分为满分。其他投标人的价格分统一按照下列公式计算：</w:t>
            </w:r>
          </w:p>
          <w:p>
            <w:pPr>
              <w:keepNext w:val="0"/>
              <w:keepLines w:val="0"/>
              <w:pageBreakBefore w:val="0"/>
              <w:widowControl/>
              <w:kinsoku/>
              <w:wordWrap/>
              <w:overflowPunct/>
              <w:topLinePunct w:val="0"/>
              <w:bidi w:val="0"/>
              <w:spacing w:line="360" w:lineRule="auto"/>
              <w:jc w:val="left"/>
              <w:textAlignment w:val="auto"/>
              <w:rPr>
                <w:rFonts w:ascii="宋体" w:hAnsi="宋体" w:cs="仿宋"/>
                <w:szCs w:val="21"/>
              </w:rPr>
            </w:pPr>
            <w:r>
              <w:rPr>
                <w:rFonts w:hint="eastAsia" w:ascii="宋体" w:hAnsi="宋体" w:cs="仿宋"/>
                <w:szCs w:val="21"/>
              </w:rPr>
              <w:t>投标报价得分=(评标基准价／投标报价)×权重</w:t>
            </w:r>
          </w:p>
          <w:p>
            <w:pPr>
              <w:keepNext w:val="0"/>
              <w:keepLines w:val="0"/>
              <w:pageBreakBefore w:val="0"/>
              <w:kinsoku/>
              <w:wordWrap/>
              <w:overflowPunct/>
              <w:topLinePunct w:val="0"/>
              <w:bidi w:val="0"/>
              <w:adjustRightInd w:val="0"/>
              <w:snapToGrid w:val="0"/>
              <w:spacing w:line="360" w:lineRule="auto"/>
              <w:textAlignment w:val="auto"/>
              <w:rPr>
                <w:rFonts w:ascii="宋体" w:hAnsi="宋体"/>
                <w:snapToGrid w:val="0"/>
                <w:kern w:val="0"/>
                <w:szCs w:val="21"/>
              </w:rPr>
            </w:pPr>
            <w:r>
              <w:rPr>
                <w:rFonts w:hint="eastAsia" w:ascii="宋体" w:hAnsi="宋体"/>
                <w:snapToGrid w:val="0"/>
                <w:kern w:val="0"/>
                <w:szCs w:val="21"/>
              </w:rPr>
              <w:t>备注：</w:t>
            </w:r>
          </w:p>
          <w:p>
            <w:pPr>
              <w:keepNext w:val="0"/>
              <w:keepLines w:val="0"/>
              <w:pageBreakBefore w:val="0"/>
              <w:kinsoku/>
              <w:wordWrap/>
              <w:overflowPunct/>
              <w:topLinePunct w:val="0"/>
              <w:bidi w:val="0"/>
              <w:adjustRightInd w:val="0"/>
              <w:snapToGrid w:val="0"/>
              <w:spacing w:line="360" w:lineRule="auto"/>
              <w:textAlignment w:val="auto"/>
              <w:rPr>
                <w:rFonts w:ascii="宋体" w:hAnsi="宋体"/>
                <w:bCs/>
                <w:snapToGrid w:val="0"/>
                <w:kern w:val="0"/>
              </w:rPr>
            </w:pPr>
            <w:r>
              <w:rPr>
                <w:rFonts w:hint="eastAsia" w:ascii="宋体" w:hAnsi="宋体"/>
                <w:snapToGrid w:val="0"/>
                <w:kern w:val="0"/>
                <w:szCs w:val="21"/>
              </w:rPr>
              <w:t>1、因落实政府采购政策进行价格调整的，以调整后的价格计算评标基准价和投标报价</w:t>
            </w:r>
            <w:r>
              <w:rPr>
                <w:rFonts w:hint="eastAsia" w:ascii="宋体" w:hAnsi="宋体"/>
                <w:bCs/>
                <w:snapToGrid w:val="0"/>
                <w:kern w:val="0"/>
              </w:rPr>
              <w:t>；</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cs="仿宋" w:asciiTheme="minorEastAsia" w:hAnsiTheme="minorEastAsia" w:eastAsiaTheme="minorEastAsia"/>
                <w:szCs w:val="21"/>
              </w:rPr>
            </w:pPr>
            <w:r>
              <w:rPr>
                <w:rFonts w:hint="eastAsia" w:ascii="宋体" w:hAnsi="宋体"/>
                <w:snapToGrid w:val="0"/>
                <w:kern w:val="0"/>
                <w:szCs w:val="21"/>
              </w:rPr>
              <w:t>2、投标报价得分四舍五入后，小数点后保留两位有效数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rPr>
            </w:pPr>
            <w:r>
              <w:rPr>
                <w:rFonts w:hint="eastAsia" w:ascii="宋体" w:hAnsi="宋体" w:cs="仿宋"/>
                <w:b/>
                <w:szCs w:val="21"/>
              </w:rPr>
              <w:t>二、技术部分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rPr>
            </w:pPr>
            <w:r>
              <w:rPr>
                <w:rFonts w:hint="eastAsia" w:ascii="宋体" w:hAnsi="宋体" w:cs="仿宋"/>
                <w:b/>
                <w:szCs w:val="21"/>
              </w:rPr>
              <w:t>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序号</w:t>
            </w:r>
          </w:p>
        </w:tc>
        <w:tc>
          <w:tcPr>
            <w:tcW w:w="114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内容</w:t>
            </w:r>
          </w:p>
        </w:tc>
        <w:tc>
          <w:tcPr>
            <w:tcW w:w="70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权重</w:t>
            </w:r>
          </w:p>
        </w:tc>
        <w:tc>
          <w:tcPr>
            <w:tcW w:w="595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30"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1</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cs="仿宋"/>
                <w:kern w:val="0"/>
                <w:szCs w:val="21"/>
              </w:rPr>
            </w:pPr>
            <w:r>
              <w:rPr>
                <w:rFonts w:hint="eastAsia" w:ascii="宋体" w:hAnsi="宋体" w:cs="仿宋"/>
                <w:kern w:val="0"/>
                <w:szCs w:val="21"/>
              </w:rPr>
              <w:t>38</w:t>
            </w:r>
          </w:p>
        </w:tc>
        <w:tc>
          <w:tcPr>
            <w:tcW w:w="5953" w:type="dxa"/>
            <w:vAlign w:val="center"/>
          </w:tcPr>
          <w:p>
            <w:pPr>
              <w:pStyle w:val="95"/>
              <w:keepNext w:val="0"/>
              <w:keepLines w:val="0"/>
              <w:pageBreakBefore w:val="0"/>
              <w:kinsoku/>
              <w:wordWrap/>
              <w:overflowPunct/>
              <w:topLinePunct w:val="0"/>
              <w:bidi w:val="0"/>
              <w:spacing w:line="360" w:lineRule="auto"/>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kinsoku/>
              <w:wordWrap/>
              <w:overflowPunct/>
              <w:topLinePunct w:val="0"/>
              <w:bidi w:val="0"/>
              <w:spacing w:line="360" w:lineRule="auto"/>
              <w:jc w:val="left"/>
              <w:textAlignment w:val="auto"/>
              <w:rPr>
                <w:rFonts w:ascii="宋体" w:hAnsi="宋体" w:cs="仿宋"/>
                <w:szCs w:val="21"/>
              </w:rPr>
            </w:pPr>
            <w:r>
              <w:rPr>
                <w:rFonts w:hint="eastAsia" w:ascii="宋体" w:hAnsi="宋体" w:cs="仿宋"/>
                <w:szCs w:val="21"/>
              </w:rPr>
              <w:t>投标人应如实填写《技术规格偏离表》，各项技术参数指标及要求全部满足的得38分；“▲”参数为重要指标，每负偏离一项扣5分；其余指标每负偏离一项扣1分，</w:t>
            </w:r>
            <w:r>
              <w:rPr>
                <w:rFonts w:hint="eastAsia" w:ascii="宋体" w:hAnsi="宋体"/>
                <w:bCs/>
                <w:szCs w:val="21"/>
              </w:rPr>
              <w:t>最低0分</w:t>
            </w:r>
            <w:r>
              <w:rPr>
                <w:rFonts w:hint="eastAsia" w:ascii="宋体" w:hAnsi="宋体" w:cs="仿宋"/>
                <w:szCs w:val="21"/>
              </w:rPr>
              <w:t>。</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hAnsi="宋体"/>
                <w:kern w:val="0"/>
                <w:szCs w:val="21"/>
              </w:rPr>
            </w:pP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hAnsi="宋体"/>
                <w:kern w:val="0"/>
                <w:szCs w:val="21"/>
              </w:rPr>
            </w:pPr>
            <w:r>
              <w:rPr>
                <w:rFonts w:hint="eastAsia" w:ascii="宋体" w:hAnsi="宋体"/>
                <w:kern w:val="0"/>
                <w:szCs w:val="21"/>
              </w:rPr>
              <w:t>（二）评分依据：</w:t>
            </w:r>
          </w:p>
          <w:p>
            <w:pPr>
              <w:keepNext w:val="0"/>
              <w:keepLines w:val="0"/>
              <w:pageBreakBefore w:val="0"/>
              <w:kinsoku/>
              <w:wordWrap/>
              <w:overflowPunct/>
              <w:topLinePunct w:val="0"/>
              <w:bidi w:val="0"/>
              <w:spacing w:line="360" w:lineRule="auto"/>
              <w:jc w:val="left"/>
              <w:textAlignment w:val="auto"/>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lang w:val="zh-CN"/>
              </w:rPr>
            </w:pPr>
            <w:r>
              <w:rPr>
                <w:rFonts w:hint="eastAsia" w:ascii="宋体" w:hAnsi="宋体" w:cs="仿宋"/>
                <w:szCs w:val="21"/>
              </w:rPr>
              <w:t>2</w:t>
            </w:r>
          </w:p>
        </w:tc>
        <w:tc>
          <w:tcPr>
            <w:tcW w:w="1143" w:type="dxa"/>
            <w:vAlign w:val="center"/>
          </w:tcPr>
          <w:p>
            <w:pPr>
              <w:keepNext w:val="0"/>
              <w:keepLines w:val="0"/>
              <w:pageBreakBefore w:val="0"/>
              <w:kinsoku/>
              <w:wordWrap/>
              <w:overflowPunct/>
              <w:topLinePunct w:val="0"/>
              <w:bidi w:val="0"/>
              <w:spacing w:line="360" w:lineRule="auto"/>
              <w:jc w:val="center"/>
              <w:textAlignment w:val="auto"/>
              <w:rPr>
                <w:rFonts w:ascii="宋体" w:hAnsi="宋体" w:cs="仿宋"/>
                <w:szCs w:val="21"/>
              </w:rPr>
            </w:pPr>
            <w:r>
              <w:rPr>
                <w:rFonts w:hint="eastAsia" w:ascii="宋体" w:hAnsi="宋体" w:cs="宋体"/>
                <w:kern w:val="0"/>
                <w:szCs w:val="21"/>
              </w:rPr>
              <w:t>技术保障措施</w:t>
            </w:r>
          </w:p>
        </w:tc>
        <w:tc>
          <w:tcPr>
            <w:tcW w:w="709" w:type="dxa"/>
            <w:vAlign w:val="center"/>
          </w:tcPr>
          <w:p>
            <w:pPr>
              <w:keepNext w:val="0"/>
              <w:keepLines w:val="0"/>
              <w:pageBreakBefore w:val="0"/>
              <w:kinsoku/>
              <w:wordWrap/>
              <w:overflowPunct/>
              <w:topLinePunct w:val="0"/>
              <w:bidi w:val="0"/>
              <w:spacing w:line="360" w:lineRule="auto"/>
              <w:jc w:val="center"/>
              <w:textAlignment w:val="auto"/>
              <w:rPr>
                <w:rFonts w:ascii="宋体" w:hAnsi="宋体" w:cs="仿宋"/>
                <w:szCs w:val="21"/>
              </w:rPr>
            </w:pPr>
            <w:r>
              <w:rPr>
                <w:rFonts w:hint="eastAsia" w:ascii="宋体" w:hAnsi="宋体" w:cs="仿宋"/>
                <w:szCs w:val="21"/>
              </w:rPr>
              <w:t>8</w:t>
            </w:r>
          </w:p>
        </w:tc>
        <w:tc>
          <w:tcPr>
            <w:tcW w:w="5953" w:type="dxa"/>
            <w:vAlign w:val="center"/>
          </w:tcPr>
          <w:p>
            <w:pPr>
              <w:pStyle w:val="95"/>
              <w:keepNext w:val="0"/>
              <w:keepLines w:val="0"/>
              <w:pageBreakBefore w:val="0"/>
              <w:kinsoku/>
              <w:wordWrap/>
              <w:overflowPunct/>
              <w:topLinePunct w:val="0"/>
              <w:bidi w:val="0"/>
              <w:spacing w:line="360" w:lineRule="auto"/>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kinsoku/>
              <w:wordWrap/>
              <w:overflowPunct/>
              <w:topLinePunct w:val="0"/>
              <w:bidi w:val="0"/>
              <w:spacing w:line="360" w:lineRule="auto"/>
              <w:jc w:val="left"/>
              <w:textAlignment w:val="auto"/>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keepNext w:val="0"/>
              <w:keepLines w:val="0"/>
              <w:pageBreakBefore w:val="0"/>
              <w:kinsoku/>
              <w:wordWrap/>
              <w:overflowPunct/>
              <w:topLinePunct w:val="0"/>
              <w:bidi w:val="0"/>
              <w:spacing w:line="360" w:lineRule="auto"/>
              <w:jc w:val="left"/>
              <w:textAlignment w:val="auto"/>
              <w:rPr>
                <w:rFonts w:hint="eastAsia" w:ascii="宋体" w:hAnsi="宋体" w:cs="仿宋"/>
                <w:szCs w:val="21"/>
              </w:rPr>
            </w:pPr>
            <w:r>
              <w:rPr>
                <w:rFonts w:hint="eastAsia" w:ascii="宋体" w:hAnsi="宋体" w:cs="仿宋"/>
                <w:szCs w:val="21"/>
              </w:rPr>
              <w:t>投标人根据本项目的需求制定</w:t>
            </w:r>
            <w:r>
              <w:rPr>
                <w:rFonts w:hint="eastAsia" w:ascii="宋体" w:hAnsi="宋体" w:cs="宋体"/>
                <w:kern w:val="0"/>
                <w:szCs w:val="21"/>
              </w:rPr>
              <w:t>技术保障措施</w:t>
            </w:r>
            <w:r>
              <w:rPr>
                <w:rFonts w:hint="eastAsia"/>
                <w:lang w:eastAsia="zh-CN"/>
              </w:rPr>
              <w:t>，</w:t>
            </w:r>
            <w:r>
              <w:rPr>
                <w:rFonts w:hint="eastAsia" w:ascii="宋体" w:hAnsi="宋体" w:cs="仿宋"/>
                <w:szCs w:val="21"/>
              </w:rPr>
              <w:t>根据响应情况进行评审</w:t>
            </w:r>
            <w:r>
              <w:rPr>
                <w:rFonts w:hint="eastAsia" w:ascii="宋体" w:hAnsi="宋体" w:cs="仿宋"/>
                <w:szCs w:val="21"/>
                <w:lang w:eastAsia="zh-CN"/>
              </w:rPr>
              <w:t>：</w:t>
            </w:r>
          </w:p>
          <w:p>
            <w:pPr>
              <w:keepNext w:val="0"/>
              <w:keepLines w:val="0"/>
              <w:pageBreakBefore w:val="0"/>
              <w:kinsoku/>
              <w:wordWrap/>
              <w:overflowPunct/>
              <w:topLinePunct w:val="0"/>
              <w:bidi w:val="0"/>
              <w:spacing w:line="360" w:lineRule="auto"/>
              <w:jc w:val="left"/>
              <w:textAlignment w:val="auto"/>
              <w:rPr>
                <w:rFonts w:ascii="宋体" w:hAnsi="宋体" w:cs="仿宋"/>
                <w:szCs w:val="21"/>
              </w:rPr>
            </w:pPr>
            <w:r>
              <w:rPr>
                <w:rFonts w:hint="eastAsia" w:ascii="宋体" w:hAnsi="宋体" w:cs="仿宋"/>
                <w:szCs w:val="21"/>
              </w:rPr>
              <w:t>（1）</w:t>
            </w:r>
            <w:r>
              <w:rPr>
                <w:rFonts w:hint="eastAsia" w:ascii="宋体" w:hAnsi="宋体" w:cs="宋体"/>
                <w:kern w:val="0"/>
                <w:szCs w:val="21"/>
              </w:rPr>
              <w:t>方案内容包含</w:t>
            </w:r>
            <w:r>
              <w:rPr>
                <w:rFonts w:hint="eastAsia" w:ascii="宋体" w:hAnsi="宋体" w:cs="宋体"/>
                <w:kern w:val="0"/>
                <w:szCs w:val="21"/>
                <w:lang w:eastAsia="zh-CN"/>
              </w:rPr>
              <w:t>“</w:t>
            </w:r>
            <w:r>
              <w:rPr>
                <w:rFonts w:hint="eastAsia" w:ascii="宋体" w:hAnsi="宋体" w:cs="宋体"/>
                <w:szCs w:val="21"/>
              </w:rPr>
              <w:t>技术团队</w:t>
            </w:r>
            <w:r>
              <w:rPr>
                <w:rFonts w:hint="eastAsia" w:ascii="宋体" w:hAnsi="宋体" w:cs="宋体"/>
                <w:szCs w:val="21"/>
                <w:lang w:val="en-US" w:eastAsia="zh-CN"/>
              </w:rPr>
              <w:t>人员配置情况</w:t>
            </w:r>
            <w:r>
              <w:rPr>
                <w:rFonts w:hint="eastAsia" w:ascii="宋体" w:hAnsi="宋体" w:cs="宋体"/>
                <w:kern w:val="0"/>
                <w:szCs w:val="21"/>
                <w:lang w:eastAsia="zh-CN"/>
              </w:rPr>
              <w:t>”</w:t>
            </w:r>
            <w:r>
              <w:rPr>
                <w:rFonts w:hint="eastAsia" w:ascii="宋体" w:hAnsi="宋体" w:cs="仿宋"/>
                <w:szCs w:val="21"/>
              </w:rPr>
              <w:t>；</w:t>
            </w:r>
          </w:p>
          <w:p>
            <w:pPr>
              <w:keepNext w:val="0"/>
              <w:keepLines w:val="0"/>
              <w:pageBreakBefore w:val="0"/>
              <w:kinsoku/>
              <w:wordWrap/>
              <w:overflowPunct/>
              <w:topLinePunct w:val="0"/>
              <w:bidi w:val="0"/>
              <w:spacing w:line="360" w:lineRule="auto"/>
              <w:jc w:val="left"/>
              <w:textAlignment w:val="auto"/>
              <w:rPr>
                <w:rFonts w:ascii="宋体" w:hAnsi="宋体" w:cs="仿宋"/>
                <w:szCs w:val="21"/>
              </w:rPr>
            </w:pPr>
            <w:r>
              <w:rPr>
                <w:rFonts w:hint="eastAsia" w:ascii="宋体" w:hAnsi="宋体" w:cs="仿宋"/>
                <w:szCs w:val="21"/>
              </w:rPr>
              <w:t>（2）</w:t>
            </w:r>
            <w:r>
              <w:rPr>
                <w:rFonts w:hint="eastAsia" w:ascii="宋体" w:hAnsi="宋体" w:cs="宋体"/>
                <w:kern w:val="0"/>
                <w:szCs w:val="21"/>
              </w:rPr>
              <w:t>方案内容包含</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项目需求</w:t>
            </w:r>
            <w:r>
              <w:rPr>
                <w:rFonts w:hint="eastAsia" w:ascii="宋体" w:hAnsi="宋体" w:cs="宋体"/>
                <w:szCs w:val="21"/>
                <w:lang w:val="en-US" w:eastAsia="zh-CN"/>
              </w:rPr>
              <w:t>理解和</w:t>
            </w:r>
            <w:r>
              <w:rPr>
                <w:rFonts w:hint="eastAsia" w:ascii="宋体" w:hAnsi="宋体" w:cs="宋体"/>
                <w:szCs w:val="21"/>
              </w:rPr>
              <w:t>技术</w:t>
            </w:r>
            <w:r>
              <w:rPr>
                <w:rFonts w:hint="eastAsia" w:ascii="宋体" w:hAnsi="宋体" w:cs="宋体"/>
                <w:szCs w:val="21"/>
                <w:lang w:val="en-US" w:eastAsia="zh-CN"/>
              </w:rPr>
              <w:t>措施</w:t>
            </w:r>
            <w:r>
              <w:rPr>
                <w:rFonts w:hint="eastAsia" w:ascii="宋体" w:hAnsi="宋体" w:cs="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hAnsi="宋体"/>
                <w:kern w:val="0"/>
                <w:szCs w:val="21"/>
              </w:rPr>
            </w:pP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hAnsi="宋体"/>
                <w:kern w:val="0"/>
                <w:szCs w:val="21"/>
              </w:rPr>
            </w:pPr>
            <w:r>
              <w:rPr>
                <w:rFonts w:hint="eastAsia" w:ascii="宋体" w:hAnsi="宋体"/>
                <w:kern w:val="0"/>
                <w:szCs w:val="21"/>
              </w:rPr>
              <w:t>（二）评分标准：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kern w:val="0"/>
                <w:szCs w:val="21"/>
                <w:lang w:eastAsia="zh-CN"/>
              </w:rPr>
            </w:pPr>
            <w:r>
              <w:rPr>
                <w:rFonts w:hint="eastAsia" w:ascii="宋体" w:hAnsi="宋体" w:cs="宋体"/>
                <w:kern w:val="0"/>
                <w:szCs w:val="21"/>
              </w:rPr>
              <w:t>技术保障措施</w:t>
            </w:r>
            <w:r>
              <w:rPr>
                <w:rFonts w:hint="eastAsia"/>
                <w:lang w:val="en-US" w:eastAsia="zh-CN"/>
              </w:rPr>
              <w:t>包含</w:t>
            </w:r>
            <w:r>
              <w:rPr>
                <w:rFonts w:hint="eastAsia" w:ascii="宋体" w:hAnsi="宋体" w:cs="宋体"/>
                <w:kern w:val="0"/>
                <w:szCs w:val="21"/>
                <w:lang w:val="en-US" w:eastAsia="zh-CN"/>
              </w:rPr>
              <w:t>以上</w:t>
            </w:r>
            <w:r>
              <w:rPr>
                <w:rFonts w:hint="eastAsia" w:ascii="宋体" w:hAnsi="宋体" w:cs="宋体"/>
                <w:kern w:val="0"/>
                <w:szCs w:val="21"/>
              </w:rPr>
              <w:t>全部</w:t>
            </w:r>
            <w:r>
              <w:rPr>
                <w:rFonts w:hint="eastAsia" w:ascii="宋体" w:hAnsi="宋体" w:cs="宋体"/>
                <w:kern w:val="0"/>
                <w:szCs w:val="21"/>
                <w:lang w:val="en-US" w:eastAsia="zh-CN"/>
              </w:rPr>
              <w:t>内容</w:t>
            </w:r>
            <w:r>
              <w:rPr>
                <w:rFonts w:hint="eastAsia" w:ascii="宋体" w:hAnsi="宋体" w:cs="宋体"/>
                <w:kern w:val="0"/>
                <w:szCs w:val="21"/>
              </w:rPr>
              <w:t>得</w:t>
            </w:r>
            <w:r>
              <w:rPr>
                <w:rFonts w:hint="eastAsia" w:ascii="宋体" w:hAnsi="宋体" w:cs="宋体"/>
                <w:kern w:val="0"/>
                <w:szCs w:val="21"/>
                <w:lang w:val="en-US" w:eastAsia="zh-CN"/>
              </w:rPr>
              <w:t>4</w:t>
            </w:r>
            <w:r>
              <w:rPr>
                <w:rFonts w:hint="eastAsia" w:ascii="宋体" w:hAnsi="宋体" w:cs="宋体"/>
                <w:kern w:val="0"/>
                <w:szCs w:val="21"/>
              </w:rPr>
              <w:t>分，满足其中任意</w:t>
            </w:r>
            <w:r>
              <w:rPr>
                <w:rFonts w:hint="eastAsia" w:ascii="宋体" w:hAnsi="宋体" w:cs="宋体"/>
                <w:kern w:val="0"/>
                <w:szCs w:val="21"/>
                <w:lang w:val="en-US" w:eastAsia="zh-CN"/>
              </w:rPr>
              <w:t>一</w:t>
            </w:r>
            <w:r>
              <w:rPr>
                <w:rFonts w:hint="eastAsia" w:ascii="宋体" w:hAnsi="宋体" w:cs="宋体"/>
                <w:kern w:val="0"/>
                <w:szCs w:val="21"/>
              </w:rPr>
              <w:t>项得</w:t>
            </w:r>
            <w:r>
              <w:rPr>
                <w:rFonts w:hint="eastAsia" w:ascii="宋体" w:hAnsi="宋体" w:cs="宋体"/>
                <w:kern w:val="0"/>
                <w:szCs w:val="21"/>
                <w:lang w:val="en-US" w:eastAsia="zh-CN"/>
              </w:rPr>
              <w:t>2</w:t>
            </w:r>
            <w:r>
              <w:rPr>
                <w:rFonts w:hint="eastAsia" w:ascii="宋体" w:hAnsi="宋体" w:cs="宋体"/>
                <w:kern w:val="0"/>
                <w:szCs w:val="21"/>
              </w:rPr>
              <w:t>分，其他情况不得分</w:t>
            </w:r>
            <w:r>
              <w:rPr>
                <w:rFonts w:hint="eastAsia" w:ascii="宋体" w:hAnsi="宋体" w:cs="宋体"/>
                <w:kern w:val="0"/>
                <w:szCs w:val="21"/>
                <w:lang w:eastAsia="zh-CN"/>
              </w:rPr>
              <w:t>。</w:t>
            </w:r>
            <w:r>
              <w:rPr>
                <w:rFonts w:hint="eastAsia" w:ascii="宋体" w:hAnsi="宋体" w:cs="宋体"/>
                <w:b w:val="0"/>
                <w:bCs w:val="0"/>
                <w:kern w:val="0"/>
                <w:szCs w:val="21"/>
              </w:rPr>
              <w:t>评标委员会根据投标人提供的以上方案内容具体情况进行评审</w:t>
            </w:r>
            <w:r>
              <w:rPr>
                <w:rFonts w:hint="eastAsia" w:ascii="宋体" w:hAnsi="宋体" w:cs="宋体"/>
                <w:b w:val="0"/>
                <w:bCs w:val="0"/>
                <w:kern w:val="0"/>
                <w:szCs w:val="21"/>
                <w:lang w:eastAsia="zh-CN"/>
              </w:rPr>
              <w:t>：</w:t>
            </w:r>
          </w:p>
          <w:p>
            <w:pPr>
              <w:pStyle w:val="95"/>
              <w:keepNext w:val="0"/>
              <w:keepLines w:val="0"/>
              <w:pageBreakBefore w:val="0"/>
              <w:kinsoku/>
              <w:wordWrap/>
              <w:overflowPunct/>
              <w:topLinePunct w:val="0"/>
              <w:bidi w:val="0"/>
              <w:spacing w:line="360" w:lineRule="auto"/>
              <w:ind w:firstLine="0" w:firstLineChars="0"/>
              <w:textAlignment w:val="auto"/>
              <w:rPr>
                <w:rFonts w:ascii="宋体" w:hAnsi="宋体"/>
                <w:szCs w:val="21"/>
              </w:rPr>
            </w:pPr>
            <w:r>
              <w:rPr>
                <w:rFonts w:hint="eastAsia" w:ascii="宋体" w:hAnsi="宋体"/>
                <w:szCs w:val="21"/>
              </w:rPr>
              <w:t>1.方案内容全面、具体，可行性高，加</w:t>
            </w:r>
            <w:r>
              <w:rPr>
                <w:rFonts w:hint="eastAsia" w:ascii="宋体" w:hAnsi="宋体"/>
                <w:szCs w:val="21"/>
                <w:lang w:val="en-US" w:eastAsia="zh-CN"/>
              </w:rPr>
              <w:t>4</w:t>
            </w:r>
            <w:r>
              <w:rPr>
                <w:rFonts w:hint="eastAsia" w:ascii="宋体" w:hAnsi="宋体"/>
                <w:szCs w:val="21"/>
              </w:rPr>
              <w:t>分；</w:t>
            </w:r>
          </w:p>
          <w:p>
            <w:pPr>
              <w:pStyle w:val="95"/>
              <w:keepNext w:val="0"/>
              <w:keepLines w:val="0"/>
              <w:pageBreakBefore w:val="0"/>
              <w:kinsoku/>
              <w:wordWrap/>
              <w:overflowPunct/>
              <w:topLinePunct w:val="0"/>
              <w:bidi w:val="0"/>
              <w:spacing w:line="360" w:lineRule="auto"/>
              <w:ind w:firstLine="0" w:firstLineChars="0"/>
              <w:textAlignment w:val="auto"/>
              <w:rPr>
                <w:rFonts w:ascii="宋体" w:hAnsi="宋体"/>
                <w:szCs w:val="21"/>
              </w:rPr>
            </w:pPr>
            <w:r>
              <w:rPr>
                <w:rFonts w:hint="eastAsia" w:ascii="宋体" w:hAnsi="宋体"/>
                <w:szCs w:val="21"/>
              </w:rPr>
              <w:t>2.方案内容较全面，可行性较高，加</w:t>
            </w:r>
            <w:r>
              <w:rPr>
                <w:rFonts w:hint="eastAsia" w:ascii="宋体" w:hAnsi="宋体"/>
                <w:szCs w:val="21"/>
                <w:lang w:val="en-US" w:eastAsia="zh-CN"/>
              </w:rPr>
              <w:t>2</w:t>
            </w:r>
            <w:r>
              <w:rPr>
                <w:rFonts w:hint="eastAsia" w:ascii="宋体" w:hAnsi="宋体"/>
                <w:szCs w:val="21"/>
              </w:rPr>
              <w:t>分；</w:t>
            </w:r>
          </w:p>
          <w:p>
            <w:pPr>
              <w:pStyle w:val="95"/>
              <w:keepNext w:val="0"/>
              <w:keepLines w:val="0"/>
              <w:pageBreakBefore w:val="0"/>
              <w:kinsoku/>
              <w:wordWrap/>
              <w:overflowPunct/>
              <w:topLinePunct w:val="0"/>
              <w:bidi w:val="0"/>
              <w:spacing w:line="360" w:lineRule="auto"/>
              <w:ind w:firstLine="0" w:firstLineChars="0"/>
              <w:textAlignment w:val="auto"/>
              <w:rPr>
                <w:rFonts w:ascii="宋体" w:hAnsi="宋体"/>
                <w:szCs w:val="21"/>
              </w:rPr>
            </w:pPr>
            <w:r>
              <w:rPr>
                <w:rFonts w:hint="eastAsia" w:ascii="宋体" w:hAnsi="宋体"/>
                <w:szCs w:val="21"/>
              </w:rPr>
              <w:t>3.方案全面性、可行性一般，加1分；</w:t>
            </w:r>
          </w:p>
          <w:p>
            <w:pPr>
              <w:keepNext w:val="0"/>
              <w:keepLines w:val="0"/>
              <w:pageBreakBefore w:val="0"/>
              <w:kinsoku/>
              <w:wordWrap/>
              <w:overflowPunct/>
              <w:topLinePunct w:val="0"/>
              <w:bidi w:val="0"/>
              <w:spacing w:line="360" w:lineRule="auto"/>
              <w:jc w:val="left"/>
              <w:textAlignment w:val="auto"/>
              <w:rPr>
                <w:rFonts w:ascii="宋体" w:hAnsi="宋体" w:cs="仿宋"/>
                <w:szCs w:val="21"/>
              </w:rPr>
            </w:pPr>
            <w:r>
              <w:rPr>
                <w:rFonts w:hint="eastAsia" w:ascii="宋体" w:hAnsi="宋体"/>
                <w:szCs w:val="21"/>
              </w:rPr>
              <w:t>4.方案不全，可行性低，不加分。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754" w:type="dxa"/>
            <w:vAlign w:val="center"/>
          </w:tcPr>
          <w:p>
            <w:pPr>
              <w:keepNext w:val="0"/>
              <w:keepLines w:val="0"/>
              <w:pageBreakBefore w:val="0"/>
              <w:widowControl/>
              <w:kinsoku/>
              <w:wordWrap/>
              <w:overflowPunct/>
              <w:topLinePunct w:val="0"/>
              <w:bidi w:val="0"/>
              <w:snapToGrid w:val="0"/>
              <w:spacing w:line="360" w:lineRule="auto"/>
              <w:jc w:val="center"/>
              <w:textAlignment w:val="auto"/>
              <w:rPr>
                <w:rFonts w:ascii="宋体" w:hAnsi="宋体"/>
                <w:kern w:val="0"/>
                <w:szCs w:val="21"/>
              </w:rPr>
            </w:pPr>
            <w:r>
              <w:rPr>
                <w:rFonts w:hint="eastAsia" w:ascii="宋体" w:hAnsi="宋体"/>
                <w:kern w:val="0"/>
                <w:szCs w:val="21"/>
              </w:rPr>
              <w:t>3</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cs="宋体"/>
                <w:szCs w:val="21"/>
              </w:rPr>
            </w:pPr>
            <w:r>
              <w:rPr>
                <w:rFonts w:hint="eastAsia"/>
              </w:rPr>
              <w:t>售后服务方案</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cs="宋体"/>
                <w:kern w:val="0"/>
                <w:szCs w:val="21"/>
              </w:rPr>
            </w:pPr>
            <w:r>
              <w:rPr>
                <w:rFonts w:hint="eastAsia" w:ascii="宋体" w:hAnsi="宋体" w:cs="宋体"/>
                <w:kern w:val="0"/>
                <w:szCs w:val="21"/>
              </w:rPr>
              <w:t>8</w:t>
            </w:r>
          </w:p>
        </w:tc>
        <w:tc>
          <w:tcPr>
            <w:tcW w:w="5953" w:type="dxa"/>
            <w:vAlign w:val="center"/>
          </w:tcPr>
          <w:p>
            <w:pPr>
              <w:pStyle w:val="95"/>
              <w:keepNext w:val="0"/>
              <w:keepLines w:val="0"/>
              <w:pageBreakBefore w:val="0"/>
              <w:kinsoku/>
              <w:wordWrap/>
              <w:overflowPunct/>
              <w:topLinePunct w:val="0"/>
              <w:bidi w:val="0"/>
              <w:spacing w:line="360" w:lineRule="auto"/>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widowControl/>
              <w:kinsoku/>
              <w:wordWrap/>
              <w:overflowPunct/>
              <w:topLinePunct w:val="0"/>
              <w:bidi w:val="0"/>
              <w:spacing w:line="360" w:lineRule="auto"/>
              <w:textAlignment w:val="auto"/>
              <w:rPr>
                <w:rFonts w:hint="eastAsia" w:ascii="宋体" w:hAnsi="宋体" w:eastAsia="宋体" w:cs="仿宋"/>
                <w:szCs w:val="21"/>
                <w:lang w:eastAsia="zh-CN"/>
              </w:rPr>
            </w:pPr>
            <w:r>
              <w:rPr>
                <w:rFonts w:hint="eastAsia" w:ascii="宋体" w:hAnsi="宋体" w:cs="仿宋"/>
                <w:szCs w:val="21"/>
              </w:rPr>
              <w:t>投标人根据本项目的需求制定</w:t>
            </w:r>
            <w:r>
              <w:rPr>
                <w:rFonts w:hint="eastAsia"/>
              </w:rPr>
              <w:t>售后服务方案</w:t>
            </w:r>
            <w:r>
              <w:rPr>
                <w:rFonts w:hint="eastAsia"/>
                <w:lang w:eastAsia="zh-CN"/>
              </w:rPr>
              <w:t>，</w:t>
            </w:r>
            <w:r>
              <w:rPr>
                <w:rFonts w:hint="eastAsia" w:ascii="宋体" w:hAnsi="宋体" w:cs="仿宋"/>
                <w:szCs w:val="21"/>
              </w:rPr>
              <w:t>根据响应情况进行评审</w:t>
            </w:r>
            <w:r>
              <w:rPr>
                <w:rFonts w:hint="eastAsia" w:ascii="宋体" w:hAnsi="宋体" w:cs="仿宋"/>
                <w:szCs w:val="21"/>
                <w:lang w:eastAsia="zh-CN"/>
              </w:rPr>
              <w:t>：</w:t>
            </w:r>
          </w:p>
          <w:p>
            <w:pPr>
              <w:keepNext w:val="0"/>
              <w:keepLines w:val="0"/>
              <w:pageBreakBefore w:val="0"/>
              <w:widowControl/>
              <w:kinsoku/>
              <w:wordWrap/>
              <w:overflowPunct/>
              <w:topLinePunct w:val="0"/>
              <w:bidi w:val="0"/>
              <w:spacing w:line="360" w:lineRule="auto"/>
              <w:textAlignment w:val="auto"/>
              <w:rPr>
                <w:rFonts w:ascii="宋体" w:hAnsi="宋体" w:cs="仿宋"/>
                <w:szCs w:val="21"/>
              </w:rPr>
            </w:pPr>
            <w:r>
              <w:rPr>
                <w:rFonts w:hint="eastAsia" w:ascii="宋体" w:hAnsi="宋体" w:cs="仿宋"/>
                <w:szCs w:val="21"/>
              </w:rPr>
              <w:t>（1）</w:t>
            </w:r>
            <w:r>
              <w:rPr>
                <w:rFonts w:hint="eastAsia" w:ascii="宋体" w:hAnsi="宋体" w:cs="宋体"/>
                <w:kern w:val="0"/>
                <w:szCs w:val="21"/>
              </w:rPr>
              <w:t>方案内容包含“</w:t>
            </w:r>
            <w:r>
              <w:rPr>
                <w:rFonts w:hint="eastAsia" w:ascii="宋体" w:hAnsi="宋体" w:cs="仿宋"/>
                <w:szCs w:val="21"/>
              </w:rPr>
              <w:t>售后服务机构及维护人员配置</w:t>
            </w:r>
            <w:r>
              <w:rPr>
                <w:rFonts w:hint="eastAsia" w:ascii="宋体" w:hAnsi="宋体" w:cs="宋体"/>
                <w:kern w:val="0"/>
                <w:szCs w:val="21"/>
              </w:rPr>
              <w:t>”</w:t>
            </w:r>
            <w:r>
              <w:rPr>
                <w:rFonts w:hint="eastAsia" w:ascii="宋体" w:hAnsi="宋体" w:cs="仿宋"/>
                <w:szCs w:val="21"/>
              </w:rPr>
              <w:t>；</w:t>
            </w:r>
          </w:p>
          <w:p>
            <w:pPr>
              <w:keepNext w:val="0"/>
              <w:keepLines w:val="0"/>
              <w:pageBreakBefore w:val="0"/>
              <w:widowControl/>
              <w:kinsoku/>
              <w:wordWrap/>
              <w:overflowPunct/>
              <w:topLinePunct w:val="0"/>
              <w:bidi w:val="0"/>
              <w:spacing w:line="360" w:lineRule="auto"/>
              <w:textAlignment w:val="auto"/>
              <w:rPr>
                <w:rFonts w:ascii="宋体" w:hAnsi="宋体" w:cs="仿宋"/>
                <w:szCs w:val="21"/>
              </w:rPr>
            </w:pPr>
            <w:r>
              <w:rPr>
                <w:rFonts w:hint="eastAsia" w:ascii="宋体" w:hAnsi="宋体" w:cs="仿宋"/>
                <w:szCs w:val="21"/>
              </w:rPr>
              <w:t>（2）</w:t>
            </w:r>
            <w:r>
              <w:rPr>
                <w:rFonts w:hint="eastAsia" w:ascii="宋体" w:hAnsi="宋体" w:cs="宋体"/>
                <w:kern w:val="0"/>
                <w:szCs w:val="21"/>
              </w:rPr>
              <w:t>方案内容包含</w:t>
            </w:r>
            <w:r>
              <w:rPr>
                <w:rFonts w:hint="eastAsia" w:ascii="宋体" w:hAnsi="宋体" w:cs="宋体"/>
                <w:kern w:val="0"/>
                <w:szCs w:val="21"/>
                <w:lang w:eastAsia="zh-CN"/>
              </w:rPr>
              <w:t>“</w:t>
            </w:r>
            <w:r>
              <w:rPr>
                <w:rFonts w:hint="eastAsia" w:ascii="宋体" w:hAnsi="宋体" w:cs="仿宋"/>
                <w:szCs w:val="21"/>
              </w:rPr>
              <w:t>技术培训方案</w:t>
            </w:r>
            <w:r>
              <w:rPr>
                <w:rFonts w:hint="eastAsia" w:ascii="宋体" w:hAnsi="宋体" w:cs="宋体"/>
                <w:kern w:val="0"/>
                <w:szCs w:val="21"/>
                <w:lang w:eastAsia="zh-CN"/>
              </w:rPr>
              <w:t>”</w:t>
            </w:r>
            <w:r>
              <w:rPr>
                <w:rFonts w:hint="eastAsia" w:ascii="宋体" w:hAnsi="宋体" w:cs="仿宋"/>
                <w:szCs w:val="21"/>
              </w:rPr>
              <w:t>；</w:t>
            </w:r>
          </w:p>
          <w:p>
            <w:pPr>
              <w:keepNext w:val="0"/>
              <w:keepLines w:val="0"/>
              <w:pageBreakBefore w:val="0"/>
              <w:widowControl/>
              <w:kinsoku/>
              <w:wordWrap/>
              <w:overflowPunct/>
              <w:topLinePunct w:val="0"/>
              <w:bidi w:val="0"/>
              <w:spacing w:line="360" w:lineRule="auto"/>
              <w:textAlignment w:val="auto"/>
              <w:rPr>
                <w:rFonts w:ascii="宋体" w:hAnsi="宋体" w:cs="仿宋"/>
                <w:szCs w:val="21"/>
              </w:rPr>
            </w:pPr>
            <w:r>
              <w:rPr>
                <w:rFonts w:hint="eastAsia" w:ascii="宋体" w:hAnsi="宋体" w:cs="仿宋"/>
                <w:szCs w:val="21"/>
              </w:rPr>
              <w:t>（3）</w:t>
            </w:r>
            <w:r>
              <w:rPr>
                <w:rFonts w:hint="eastAsia" w:ascii="宋体" w:hAnsi="宋体" w:cs="宋体"/>
                <w:kern w:val="0"/>
                <w:szCs w:val="21"/>
              </w:rPr>
              <w:t>方案内容包含</w:t>
            </w:r>
            <w:r>
              <w:rPr>
                <w:rFonts w:hint="eastAsia" w:ascii="宋体" w:hAnsi="宋体" w:cs="仿宋"/>
                <w:szCs w:val="21"/>
                <w:lang w:eastAsia="zh-CN"/>
              </w:rPr>
              <w:t>“</w:t>
            </w:r>
            <w:r>
              <w:rPr>
                <w:rFonts w:hint="eastAsia" w:ascii="宋体" w:hAnsi="宋体" w:cs="仿宋"/>
                <w:szCs w:val="21"/>
              </w:rPr>
              <w:t>故障响应时间及</w:t>
            </w:r>
            <w:r>
              <w:rPr>
                <w:rFonts w:hint="eastAsia" w:ascii="宋体" w:hAnsi="宋体"/>
                <w:szCs w:val="21"/>
              </w:rPr>
              <w:t>备品备件</w:t>
            </w:r>
            <w:r>
              <w:rPr>
                <w:rFonts w:hint="eastAsia" w:ascii="宋体" w:hAnsi="宋体"/>
              </w:rPr>
              <w:t>支持计划</w:t>
            </w:r>
            <w:r>
              <w:rPr>
                <w:rFonts w:hint="eastAsia" w:ascii="宋体" w:hAnsi="宋体" w:cs="仿宋"/>
                <w:szCs w:val="21"/>
                <w:lang w:eastAsia="zh-CN"/>
              </w:rPr>
              <w:t>”</w:t>
            </w:r>
            <w:r>
              <w:rPr>
                <w:rFonts w:hint="eastAsia" w:ascii="宋体" w:hAnsi="宋体" w:cs="仿宋"/>
                <w:szCs w:val="21"/>
              </w:rPr>
              <w:t>。</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hAnsi="宋体"/>
                <w:kern w:val="0"/>
                <w:szCs w:val="21"/>
              </w:rPr>
            </w:pPr>
            <w:r>
              <w:rPr>
                <w:rFonts w:hint="eastAsia" w:ascii="宋体" w:hAnsi="宋体"/>
                <w:kern w:val="0"/>
                <w:szCs w:val="21"/>
              </w:rPr>
              <w:t>（二）评分标准：</w:t>
            </w:r>
          </w:p>
          <w:p>
            <w:pPr>
              <w:pStyle w:val="95"/>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kern w:val="0"/>
                <w:szCs w:val="21"/>
                <w:lang w:eastAsia="zh-CN"/>
              </w:rPr>
            </w:pPr>
            <w:r>
              <w:rPr>
                <w:rFonts w:hint="eastAsia"/>
              </w:rPr>
              <w:t>售后服务方案</w:t>
            </w:r>
            <w:r>
              <w:rPr>
                <w:rFonts w:hint="eastAsia"/>
                <w:lang w:val="en-US" w:eastAsia="zh-CN"/>
              </w:rPr>
              <w:t>包含</w:t>
            </w:r>
            <w:r>
              <w:rPr>
                <w:rFonts w:hint="eastAsia" w:ascii="宋体" w:hAnsi="宋体" w:cs="宋体"/>
                <w:kern w:val="0"/>
                <w:szCs w:val="21"/>
                <w:lang w:val="en-US" w:eastAsia="zh-CN"/>
              </w:rPr>
              <w:t>以上</w:t>
            </w:r>
            <w:r>
              <w:rPr>
                <w:rFonts w:hint="eastAsia" w:ascii="宋体" w:hAnsi="宋体" w:cs="宋体"/>
                <w:kern w:val="0"/>
                <w:szCs w:val="21"/>
              </w:rPr>
              <w:t>全部</w:t>
            </w:r>
            <w:r>
              <w:rPr>
                <w:rFonts w:hint="eastAsia" w:ascii="宋体" w:hAnsi="宋体" w:cs="宋体"/>
                <w:kern w:val="0"/>
                <w:szCs w:val="21"/>
                <w:lang w:val="en-US" w:eastAsia="zh-CN"/>
              </w:rPr>
              <w:t>内容</w:t>
            </w:r>
            <w:r>
              <w:rPr>
                <w:rFonts w:hint="eastAsia" w:ascii="宋体" w:hAnsi="宋体" w:cs="宋体"/>
                <w:kern w:val="0"/>
                <w:szCs w:val="21"/>
              </w:rPr>
              <w:t>得</w:t>
            </w:r>
            <w:r>
              <w:rPr>
                <w:rFonts w:hint="eastAsia" w:ascii="宋体" w:hAnsi="宋体" w:cs="宋体"/>
                <w:kern w:val="0"/>
                <w:szCs w:val="21"/>
                <w:lang w:val="en-US" w:eastAsia="zh-CN"/>
              </w:rPr>
              <w:t>4</w:t>
            </w:r>
            <w:r>
              <w:rPr>
                <w:rFonts w:hint="eastAsia" w:ascii="宋体" w:hAnsi="宋体" w:cs="宋体"/>
                <w:kern w:val="0"/>
                <w:szCs w:val="21"/>
              </w:rPr>
              <w:t>分，满足其中任意二项得</w:t>
            </w:r>
            <w:r>
              <w:rPr>
                <w:rFonts w:hint="eastAsia" w:ascii="宋体" w:hAnsi="宋体" w:cs="宋体"/>
                <w:kern w:val="0"/>
                <w:szCs w:val="21"/>
                <w:lang w:val="en-US" w:eastAsia="zh-CN"/>
              </w:rPr>
              <w:t>2.5</w:t>
            </w:r>
            <w:r>
              <w:rPr>
                <w:rFonts w:hint="eastAsia" w:ascii="宋体" w:hAnsi="宋体" w:cs="宋体"/>
                <w:kern w:val="0"/>
                <w:szCs w:val="21"/>
              </w:rPr>
              <w:t>分，满足其中任意一项得</w:t>
            </w:r>
            <w:r>
              <w:rPr>
                <w:rFonts w:hint="eastAsia" w:ascii="宋体" w:hAnsi="宋体" w:cs="宋体"/>
                <w:kern w:val="0"/>
                <w:szCs w:val="21"/>
                <w:lang w:val="en-US" w:eastAsia="zh-CN"/>
              </w:rPr>
              <w:t>1</w:t>
            </w:r>
            <w:r>
              <w:rPr>
                <w:rFonts w:hint="eastAsia" w:ascii="宋体" w:hAnsi="宋体" w:cs="宋体"/>
                <w:kern w:val="0"/>
                <w:szCs w:val="21"/>
              </w:rPr>
              <w:t>分，其他情况不得分</w:t>
            </w:r>
            <w:r>
              <w:rPr>
                <w:rFonts w:hint="eastAsia" w:ascii="宋体" w:hAnsi="宋体" w:cs="宋体"/>
                <w:kern w:val="0"/>
                <w:szCs w:val="21"/>
                <w:lang w:eastAsia="zh-CN"/>
              </w:rPr>
              <w:t>。</w:t>
            </w:r>
            <w:r>
              <w:rPr>
                <w:rFonts w:hint="eastAsia" w:ascii="宋体" w:hAnsi="宋体" w:cs="宋体"/>
                <w:b w:val="0"/>
                <w:bCs w:val="0"/>
                <w:kern w:val="0"/>
                <w:szCs w:val="21"/>
              </w:rPr>
              <w:t>评标委员会根据投标人提供的以上方案内容具体情况进行评审</w:t>
            </w:r>
            <w:r>
              <w:rPr>
                <w:rFonts w:hint="eastAsia" w:ascii="宋体" w:hAnsi="宋体" w:cs="宋体"/>
                <w:b w:val="0"/>
                <w:bCs w:val="0"/>
                <w:kern w:val="0"/>
                <w:szCs w:val="21"/>
                <w:lang w:eastAsia="zh-CN"/>
              </w:rPr>
              <w:t>：</w:t>
            </w:r>
          </w:p>
          <w:p>
            <w:pPr>
              <w:pStyle w:val="95"/>
              <w:keepNext w:val="0"/>
              <w:keepLines w:val="0"/>
              <w:pageBreakBefore w:val="0"/>
              <w:kinsoku/>
              <w:wordWrap/>
              <w:overflowPunct/>
              <w:topLinePunct w:val="0"/>
              <w:bidi w:val="0"/>
              <w:spacing w:line="360" w:lineRule="auto"/>
              <w:ind w:firstLine="0" w:firstLineChars="0"/>
              <w:textAlignment w:val="auto"/>
              <w:rPr>
                <w:rFonts w:ascii="宋体" w:hAnsi="宋体"/>
                <w:szCs w:val="21"/>
              </w:rPr>
            </w:pPr>
            <w:r>
              <w:rPr>
                <w:rFonts w:hint="eastAsia" w:ascii="宋体" w:hAnsi="宋体"/>
                <w:szCs w:val="21"/>
              </w:rPr>
              <w:t>1.方案内容全面、具体，可行性高，加</w:t>
            </w:r>
            <w:r>
              <w:rPr>
                <w:rFonts w:hint="eastAsia" w:ascii="宋体" w:hAnsi="宋体"/>
                <w:szCs w:val="21"/>
                <w:lang w:val="en-US" w:eastAsia="zh-CN"/>
              </w:rPr>
              <w:t>4</w:t>
            </w:r>
            <w:r>
              <w:rPr>
                <w:rFonts w:hint="eastAsia" w:ascii="宋体" w:hAnsi="宋体"/>
                <w:szCs w:val="21"/>
              </w:rPr>
              <w:t>分；</w:t>
            </w:r>
          </w:p>
          <w:p>
            <w:pPr>
              <w:pStyle w:val="95"/>
              <w:keepNext w:val="0"/>
              <w:keepLines w:val="0"/>
              <w:pageBreakBefore w:val="0"/>
              <w:kinsoku/>
              <w:wordWrap/>
              <w:overflowPunct/>
              <w:topLinePunct w:val="0"/>
              <w:bidi w:val="0"/>
              <w:spacing w:line="360" w:lineRule="auto"/>
              <w:ind w:firstLine="0" w:firstLineChars="0"/>
              <w:textAlignment w:val="auto"/>
              <w:rPr>
                <w:rFonts w:ascii="宋体" w:hAnsi="宋体"/>
                <w:szCs w:val="21"/>
              </w:rPr>
            </w:pPr>
            <w:r>
              <w:rPr>
                <w:rFonts w:hint="eastAsia" w:ascii="宋体" w:hAnsi="宋体"/>
                <w:szCs w:val="21"/>
              </w:rPr>
              <w:t>2.方案内容较全面，可行性较高，加</w:t>
            </w:r>
            <w:r>
              <w:rPr>
                <w:rFonts w:hint="eastAsia" w:ascii="宋体" w:hAnsi="宋体"/>
                <w:szCs w:val="21"/>
                <w:lang w:val="en-US" w:eastAsia="zh-CN"/>
              </w:rPr>
              <w:t>2</w:t>
            </w:r>
            <w:r>
              <w:rPr>
                <w:rFonts w:hint="eastAsia" w:ascii="宋体" w:hAnsi="宋体"/>
                <w:szCs w:val="21"/>
              </w:rPr>
              <w:t>分；</w:t>
            </w:r>
          </w:p>
          <w:p>
            <w:pPr>
              <w:pStyle w:val="95"/>
              <w:keepNext w:val="0"/>
              <w:keepLines w:val="0"/>
              <w:pageBreakBefore w:val="0"/>
              <w:kinsoku/>
              <w:wordWrap/>
              <w:overflowPunct/>
              <w:topLinePunct w:val="0"/>
              <w:bidi w:val="0"/>
              <w:spacing w:line="360" w:lineRule="auto"/>
              <w:ind w:firstLine="0" w:firstLineChars="0"/>
              <w:textAlignment w:val="auto"/>
              <w:rPr>
                <w:rFonts w:ascii="宋体" w:hAnsi="宋体"/>
                <w:szCs w:val="21"/>
              </w:rPr>
            </w:pPr>
            <w:r>
              <w:rPr>
                <w:rFonts w:hint="eastAsia" w:ascii="宋体" w:hAnsi="宋体"/>
                <w:szCs w:val="21"/>
              </w:rPr>
              <w:t>3.方案全面性、可行性一般，加1分；</w:t>
            </w:r>
          </w:p>
          <w:p>
            <w:pPr>
              <w:pStyle w:val="95"/>
              <w:keepNext w:val="0"/>
              <w:keepLines w:val="0"/>
              <w:pageBreakBefore w:val="0"/>
              <w:kinsoku/>
              <w:wordWrap/>
              <w:overflowPunct/>
              <w:topLinePunct w:val="0"/>
              <w:bidi w:val="0"/>
              <w:spacing w:line="360" w:lineRule="auto"/>
              <w:ind w:firstLine="0" w:firstLineChars="0"/>
              <w:textAlignment w:val="auto"/>
              <w:rPr>
                <w:rFonts w:ascii="宋体" w:hAnsi="宋体"/>
                <w:szCs w:val="21"/>
              </w:rPr>
            </w:pPr>
            <w:r>
              <w:rPr>
                <w:rFonts w:hint="eastAsia" w:ascii="宋体" w:hAnsi="宋体"/>
                <w:szCs w:val="21"/>
              </w:rPr>
              <w:t>4.方案不全，可行性低，不加分。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rPr>
            </w:pPr>
            <w:r>
              <w:rPr>
                <w:rFonts w:hint="eastAsia" w:ascii="宋体" w:hAnsi="宋体" w:cs="仿宋"/>
                <w:b/>
                <w:szCs w:val="21"/>
                <w:lang w:val="zh-CN"/>
              </w:rPr>
              <w:t>三、商务部分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rPr>
            </w:pPr>
            <w:r>
              <w:rPr>
                <w:rFonts w:hint="eastAsia" w:ascii="宋体" w:hAnsi="宋体" w:cs="仿宋"/>
                <w:b/>
                <w:szCs w:val="21"/>
              </w:rPr>
              <w:t>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序号</w:t>
            </w:r>
          </w:p>
        </w:tc>
        <w:tc>
          <w:tcPr>
            <w:tcW w:w="114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内容</w:t>
            </w:r>
          </w:p>
        </w:tc>
        <w:tc>
          <w:tcPr>
            <w:tcW w:w="70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权重</w:t>
            </w:r>
          </w:p>
        </w:tc>
        <w:tc>
          <w:tcPr>
            <w:tcW w:w="595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lang w:val="zh-CN"/>
              </w:rPr>
            </w:pPr>
            <w:r>
              <w:rPr>
                <w:rFonts w:hint="eastAsia" w:ascii="宋体" w:hAnsi="宋体" w:cs="仿宋"/>
                <w:szCs w:val="21"/>
                <w:lang w:val="zh-CN"/>
              </w:rPr>
              <w:t>1</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cs="仿宋"/>
                <w:kern w:val="0"/>
                <w:szCs w:val="21"/>
              </w:rPr>
            </w:pPr>
            <w:r>
              <w:rPr>
                <w:rFonts w:hint="eastAsia" w:ascii="宋体" w:hAnsi="宋体" w:cs="仿宋"/>
                <w:kern w:val="0"/>
                <w:szCs w:val="21"/>
              </w:rPr>
              <w:t>商务款偏离情况</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cs="仿宋"/>
                <w:kern w:val="0"/>
                <w:szCs w:val="21"/>
              </w:rPr>
            </w:pPr>
            <w:r>
              <w:rPr>
                <w:rFonts w:hint="eastAsia" w:ascii="宋体" w:hAnsi="宋体" w:cs="仿宋"/>
                <w:kern w:val="0"/>
                <w:szCs w:val="21"/>
              </w:rPr>
              <w:t>8</w:t>
            </w:r>
          </w:p>
        </w:tc>
        <w:tc>
          <w:tcPr>
            <w:tcW w:w="5953" w:type="dxa"/>
            <w:vAlign w:val="center"/>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hAnsi="宋体" w:cs="仿宋"/>
                <w:szCs w:val="21"/>
                <w:lang w:val="zh-CN"/>
              </w:rPr>
            </w:pPr>
            <w:r>
              <w:rPr>
                <w:rFonts w:ascii="宋体" w:hAnsi="宋体" w:cs="仿宋"/>
                <w:szCs w:val="21"/>
                <w:lang w:val="zh-CN"/>
              </w:rPr>
              <w:t>投标人应如实填写《</w:t>
            </w:r>
            <w:r>
              <w:rPr>
                <w:rFonts w:hint="eastAsia" w:ascii="宋体" w:hAnsi="宋体" w:cs="仿宋"/>
                <w:szCs w:val="21"/>
                <w:lang w:val="zh-CN"/>
              </w:rPr>
              <w:t>商务条款偏离表</w:t>
            </w:r>
            <w:r>
              <w:rPr>
                <w:rFonts w:ascii="宋体" w:hAnsi="宋体" w:cs="仿宋"/>
                <w:szCs w:val="21"/>
                <w:lang w:val="zh-CN"/>
              </w:rPr>
              <w:t>》，评审委员会根据响应情况进行打分</w:t>
            </w:r>
            <w:r>
              <w:rPr>
                <w:rFonts w:hint="eastAsia" w:ascii="宋体" w:hAnsi="宋体" w:cs="仿宋"/>
                <w:szCs w:val="21"/>
                <w:lang w:val="zh-CN"/>
              </w:rPr>
              <w:t>:</w:t>
            </w:r>
            <w:r>
              <w:rPr>
                <w:rFonts w:ascii="宋体" w:hAnsi="宋体" w:cs="仿宋"/>
                <w:szCs w:val="21"/>
                <w:lang w:val="zh-CN"/>
              </w:rPr>
              <w:t xml:space="preserve"> </w:t>
            </w:r>
            <w:r>
              <w:rPr>
                <w:rFonts w:hint="eastAsia" w:ascii="宋体" w:hAnsi="宋体" w:cs="仿宋"/>
                <w:szCs w:val="21"/>
                <w:lang w:val="zh-CN"/>
              </w:rPr>
              <w:t>全部满足得</w:t>
            </w:r>
            <w:r>
              <w:rPr>
                <w:rFonts w:hint="eastAsia" w:ascii="宋体" w:hAnsi="宋体" w:cs="仿宋"/>
                <w:szCs w:val="21"/>
                <w:lang w:val="en-US" w:eastAsia="zh-CN"/>
              </w:rPr>
              <w:t>8</w:t>
            </w:r>
            <w:r>
              <w:rPr>
                <w:rFonts w:hint="eastAsia" w:ascii="宋体" w:hAnsi="宋体" w:cs="仿宋"/>
                <w:szCs w:val="21"/>
                <w:lang w:val="zh-CN"/>
              </w:rPr>
              <w:t>分，每负偏离一项扣</w:t>
            </w:r>
            <w:r>
              <w:rPr>
                <w:rFonts w:hint="eastAsia" w:ascii="宋体" w:hAnsi="宋体" w:cs="仿宋"/>
                <w:szCs w:val="21"/>
                <w:lang w:val="en-US" w:eastAsia="zh-CN"/>
              </w:rPr>
              <w:t>2</w:t>
            </w:r>
            <w:r>
              <w:rPr>
                <w:rFonts w:hint="eastAsia" w:ascii="宋体" w:hAnsi="宋体" w:cs="仿宋"/>
                <w:szCs w:val="21"/>
                <w:lang w:val="zh-CN"/>
              </w:rPr>
              <w:t>分。扣完为止，最低得0分。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26"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lang w:val="zh-CN"/>
              </w:rPr>
            </w:pPr>
            <w:r>
              <w:rPr>
                <w:rFonts w:hint="eastAsia" w:ascii="宋体" w:hAnsi="宋体" w:cs="仿宋"/>
                <w:szCs w:val="21"/>
              </w:rPr>
              <w:t>2</w:t>
            </w:r>
          </w:p>
        </w:tc>
        <w:tc>
          <w:tcPr>
            <w:tcW w:w="1143" w:type="dxa"/>
            <w:vAlign w:val="center"/>
          </w:tcPr>
          <w:p>
            <w:pPr>
              <w:keepNext w:val="0"/>
              <w:keepLines w:val="0"/>
              <w:pageBreakBefore w:val="0"/>
              <w:kinsoku/>
              <w:wordWrap/>
              <w:overflowPunct/>
              <w:topLinePunct w:val="0"/>
              <w:bidi w:val="0"/>
              <w:spacing w:line="360" w:lineRule="auto"/>
              <w:jc w:val="center"/>
              <w:textAlignment w:val="auto"/>
              <w:rPr>
                <w:rFonts w:ascii="宋体" w:hAnsi="宋体" w:cs="宋体"/>
                <w:kern w:val="0"/>
                <w:szCs w:val="21"/>
              </w:rPr>
            </w:pPr>
            <w:r>
              <w:rPr>
                <w:rFonts w:hint="eastAsia" w:ascii="宋体" w:hAnsi="宋体" w:cs="宋体"/>
                <w:color w:val="000000"/>
                <w:kern w:val="0"/>
                <w:szCs w:val="21"/>
              </w:rPr>
              <w:t>同类项目业绩情况</w:t>
            </w:r>
          </w:p>
        </w:tc>
        <w:tc>
          <w:tcPr>
            <w:tcW w:w="709" w:type="dxa"/>
            <w:vAlign w:val="center"/>
          </w:tcPr>
          <w:p>
            <w:pPr>
              <w:keepNext w:val="0"/>
              <w:keepLines w:val="0"/>
              <w:pageBreakBefore w:val="0"/>
              <w:kinsoku/>
              <w:wordWrap/>
              <w:overflowPunct/>
              <w:topLinePunct w:val="0"/>
              <w:bidi w:val="0"/>
              <w:spacing w:line="360" w:lineRule="auto"/>
              <w:jc w:val="center"/>
              <w:textAlignment w:val="auto"/>
              <w:rPr>
                <w:rFonts w:ascii="宋体" w:hAnsi="宋体" w:cs="仿宋"/>
                <w:szCs w:val="21"/>
              </w:rPr>
            </w:pPr>
            <w:r>
              <w:rPr>
                <w:rFonts w:hint="eastAsia" w:ascii="宋体" w:hAnsi="宋体" w:cs="仿宋"/>
                <w:szCs w:val="21"/>
              </w:rPr>
              <w:t>3</w:t>
            </w:r>
          </w:p>
        </w:tc>
        <w:tc>
          <w:tcPr>
            <w:tcW w:w="5953" w:type="dxa"/>
            <w:vAlign w:val="center"/>
          </w:tcPr>
          <w:p>
            <w:pPr>
              <w:pStyle w:val="95"/>
              <w:keepNext w:val="0"/>
              <w:keepLines w:val="0"/>
              <w:pageBreakBefore w:val="0"/>
              <w:kinsoku/>
              <w:wordWrap/>
              <w:overflowPunct/>
              <w:topLinePunct w:val="0"/>
              <w:bidi w:val="0"/>
              <w:spacing w:line="360" w:lineRule="auto"/>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widowControl/>
              <w:kinsoku/>
              <w:wordWrap/>
              <w:overflowPunct/>
              <w:topLinePunct w:val="0"/>
              <w:bidi w:val="0"/>
              <w:spacing w:line="360" w:lineRule="auto"/>
              <w:textAlignment w:val="auto"/>
              <w:rPr>
                <w:rFonts w:ascii="宋体" w:hAnsi="宋体" w:cs="仿宋"/>
                <w:szCs w:val="21"/>
              </w:rPr>
            </w:pPr>
            <w:r>
              <w:rPr>
                <w:rFonts w:ascii="宋体" w:hAnsi="宋体" w:cs="仿宋"/>
                <w:szCs w:val="21"/>
              </w:rPr>
              <w:t>投标人近</w:t>
            </w:r>
            <w:r>
              <w:rPr>
                <w:rFonts w:hint="eastAsia" w:ascii="宋体" w:hAnsi="宋体" w:cs="仿宋"/>
                <w:szCs w:val="21"/>
              </w:rPr>
              <w:t>三</w:t>
            </w:r>
            <w:r>
              <w:rPr>
                <w:rFonts w:ascii="宋体" w:hAnsi="宋体" w:cs="仿宋"/>
                <w:szCs w:val="21"/>
              </w:rPr>
              <w:t>年（以合同签订时间签订为准,从20</w:t>
            </w:r>
            <w:r>
              <w:rPr>
                <w:rFonts w:hint="eastAsia" w:ascii="宋体" w:hAnsi="宋体" w:cs="仿宋"/>
                <w:szCs w:val="21"/>
              </w:rPr>
              <w:t>20</w:t>
            </w:r>
            <w:r>
              <w:rPr>
                <w:rFonts w:ascii="宋体" w:hAnsi="宋体" w:cs="仿宋"/>
                <w:szCs w:val="21"/>
              </w:rPr>
              <w:t>年1月1日开始，截止日为本项目</w:t>
            </w:r>
            <w:r>
              <w:rPr>
                <w:rFonts w:hint="eastAsia"/>
              </w:rPr>
              <w:t>投标截止日</w:t>
            </w:r>
            <w:r>
              <w:rPr>
                <w:rFonts w:ascii="宋体" w:hAnsi="宋体" w:cs="仿宋"/>
                <w:szCs w:val="21"/>
              </w:rPr>
              <w:t>），</w:t>
            </w:r>
            <w:r>
              <w:rPr>
                <w:rFonts w:hint="eastAsia" w:ascii="宋体" w:hAnsi="宋体" w:cs="宋体"/>
                <w:szCs w:val="21"/>
              </w:rPr>
              <w:t>具有</w:t>
            </w:r>
            <w:r>
              <w:rPr>
                <w:rFonts w:hint="eastAsia" w:ascii="宋体" w:hAnsi="宋体" w:cs="宋体"/>
                <w:bCs/>
                <w:szCs w:val="21"/>
              </w:rPr>
              <w:t>同类项目业绩</w:t>
            </w:r>
            <w:r>
              <w:rPr>
                <w:rFonts w:hint="eastAsia" w:ascii="宋体" w:hAnsi="宋体" w:cs="宋体"/>
                <w:szCs w:val="21"/>
              </w:rPr>
              <w:t>且获得采购单位履约评价结果为“优或满意”</w:t>
            </w:r>
            <w:r>
              <w:rPr>
                <w:rFonts w:hint="eastAsia" w:ascii="宋体" w:hAnsi="宋体" w:cs="宋体"/>
                <w:bCs/>
                <w:szCs w:val="21"/>
              </w:rPr>
              <w:t>的</w:t>
            </w:r>
            <w:r>
              <w:rPr>
                <w:rFonts w:ascii="宋体" w:hAnsi="宋体" w:cs="仿宋"/>
                <w:szCs w:val="21"/>
              </w:rPr>
              <w:t>每提供一个有效业绩得</w:t>
            </w:r>
            <w:r>
              <w:rPr>
                <w:rFonts w:hint="eastAsia" w:ascii="宋体" w:hAnsi="宋体" w:cs="仿宋"/>
                <w:szCs w:val="21"/>
              </w:rPr>
              <w:t>1分</w:t>
            </w:r>
            <w:r>
              <w:rPr>
                <w:rFonts w:ascii="宋体" w:hAnsi="宋体" w:cs="仿宋"/>
                <w:szCs w:val="21"/>
              </w:rPr>
              <w:t>，本项得分最高得</w:t>
            </w:r>
            <w:r>
              <w:rPr>
                <w:rFonts w:hint="eastAsia" w:ascii="宋体" w:hAnsi="宋体" w:cs="仿宋"/>
                <w:szCs w:val="21"/>
              </w:rPr>
              <w:t>3分</w:t>
            </w:r>
            <w:r>
              <w:rPr>
                <w:rFonts w:ascii="宋体" w:hAnsi="宋体" w:cs="仿宋"/>
                <w:szCs w:val="21"/>
              </w:rPr>
              <w:t>。</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hAnsi="宋体"/>
                <w:kern w:val="0"/>
                <w:szCs w:val="21"/>
              </w:rPr>
            </w:pP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hAnsi="宋体"/>
                <w:kern w:val="0"/>
                <w:szCs w:val="21"/>
              </w:rPr>
            </w:pPr>
            <w:r>
              <w:rPr>
                <w:rFonts w:hint="eastAsia" w:ascii="宋体" w:hAnsi="宋体"/>
                <w:kern w:val="0"/>
                <w:szCs w:val="21"/>
              </w:rPr>
              <w:t>（二）评分依据：</w:t>
            </w:r>
          </w:p>
          <w:p>
            <w:pPr>
              <w:keepNext w:val="0"/>
              <w:keepLines w:val="0"/>
              <w:pageBreakBefore w:val="0"/>
              <w:widowControl/>
              <w:kinsoku/>
              <w:wordWrap/>
              <w:overflowPunct/>
              <w:topLinePunct w:val="0"/>
              <w:bidi w:val="0"/>
              <w:spacing w:line="360" w:lineRule="auto"/>
              <w:textAlignment w:val="auto"/>
              <w:rPr>
                <w:rFonts w:ascii="宋体" w:hAnsi="宋体" w:cs="宋体"/>
                <w:kern w:val="0"/>
                <w:szCs w:val="21"/>
              </w:rPr>
            </w:pPr>
            <w:r>
              <w:rPr>
                <w:rFonts w:hint="eastAsia" w:ascii="宋体" w:hAnsi="宋体" w:cs="宋体"/>
                <w:kern w:val="0"/>
                <w:szCs w:val="21"/>
              </w:rPr>
              <w:t>1.提供合同关键页</w:t>
            </w:r>
            <w:r>
              <w:rPr>
                <w:rFonts w:ascii="宋体" w:hAnsi="宋体" w:cs="宋体"/>
                <w:kern w:val="0"/>
                <w:szCs w:val="21"/>
              </w:rPr>
              <w:t>（关键信息包括但不仅限于合同的项目名称、服务内容、合同服务期限、合同签订日期</w:t>
            </w:r>
            <w:r>
              <w:rPr>
                <w:rFonts w:hint="eastAsia" w:ascii="宋体" w:hAnsi="宋体" w:cs="宋体"/>
                <w:kern w:val="0"/>
                <w:szCs w:val="21"/>
              </w:rPr>
              <w:t>、</w:t>
            </w:r>
            <w:r>
              <w:rPr>
                <w:rFonts w:ascii="宋体" w:hAnsi="宋体" w:cs="宋体"/>
                <w:kern w:val="0"/>
                <w:szCs w:val="21"/>
              </w:rPr>
              <w:t>甲乙双方签字盖章页）</w:t>
            </w:r>
            <w:r>
              <w:rPr>
                <w:rFonts w:hint="eastAsia" w:ascii="宋体" w:hAnsi="宋体" w:cs="宋体"/>
                <w:kern w:val="0"/>
                <w:szCs w:val="21"/>
              </w:rPr>
              <w:t>且提供的材料各项信息不得有任何遮挡；</w:t>
            </w:r>
          </w:p>
          <w:p>
            <w:pPr>
              <w:keepNext w:val="0"/>
              <w:keepLines w:val="0"/>
              <w:pageBreakBefore w:val="0"/>
              <w:widowControl/>
              <w:kinsoku/>
              <w:wordWrap/>
              <w:overflowPunct/>
              <w:topLinePunct w:val="0"/>
              <w:bidi w:val="0"/>
              <w:spacing w:line="360" w:lineRule="auto"/>
              <w:textAlignment w:val="auto"/>
              <w:rPr>
                <w:rFonts w:ascii="宋体" w:hAnsi="宋体" w:cs="宋体"/>
                <w:kern w:val="0"/>
                <w:szCs w:val="21"/>
              </w:rPr>
            </w:pPr>
            <w:r>
              <w:rPr>
                <w:rFonts w:hint="eastAsia" w:ascii="宋体" w:hAnsi="宋体" w:cs="宋体"/>
                <w:kern w:val="0"/>
                <w:szCs w:val="21"/>
              </w:rPr>
              <w:t>2.通过合同关键信息无法判断是否得分的，也可以提供能证明得分的其它证明资料，如项目报告或合同甲方出具的证明文件；</w:t>
            </w:r>
          </w:p>
          <w:p>
            <w:pPr>
              <w:keepNext w:val="0"/>
              <w:keepLines w:val="0"/>
              <w:pageBreakBefore w:val="0"/>
              <w:widowControl/>
              <w:kinsoku/>
              <w:wordWrap/>
              <w:overflowPunct/>
              <w:topLinePunct w:val="0"/>
              <w:bidi w:val="0"/>
              <w:spacing w:line="360" w:lineRule="auto"/>
              <w:textAlignment w:val="auto"/>
              <w:rPr>
                <w:rFonts w:ascii="宋体" w:hAnsi="宋体" w:cs="宋体"/>
                <w:kern w:val="0"/>
                <w:szCs w:val="21"/>
              </w:rPr>
            </w:pPr>
            <w:r>
              <w:rPr>
                <w:rFonts w:hint="eastAsia" w:ascii="宋体" w:hAnsi="宋体" w:cs="宋体"/>
                <w:kern w:val="0"/>
                <w:szCs w:val="21"/>
              </w:rPr>
              <w:t>3.提供加盖采购单位公章或业务章的履约评价证明材料；</w:t>
            </w:r>
          </w:p>
          <w:p>
            <w:pPr>
              <w:keepNext w:val="0"/>
              <w:keepLines w:val="0"/>
              <w:pageBreakBefore w:val="0"/>
              <w:widowControl/>
              <w:kinsoku/>
              <w:wordWrap/>
              <w:overflowPunct/>
              <w:topLinePunct w:val="0"/>
              <w:bidi w:val="0"/>
              <w:spacing w:line="360" w:lineRule="auto"/>
              <w:textAlignment w:val="auto"/>
              <w:rPr>
                <w:rFonts w:ascii="宋体" w:hAnsi="宋体" w:cs="宋体"/>
                <w:kern w:val="0"/>
                <w:szCs w:val="21"/>
              </w:rPr>
            </w:pPr>
            <w:r>
              <w:rPr>
                <w:rFonts w:hint="eastAsia" w:ascii="宋体" w:hAnsi="宋体" w:cs="宋体"/>
                <w:kern w:val="0"/>
                <w:szCs w:val="21"/>
              </w:rPr>
              <w:t>4.提供以上证明文件复印件或扫描件，如涉及网站截图或照片等证明材料,需提供清晰图片,均要求加盖投标人公章,原件备查。未按要求提供有效证明材料或提供不清晰导致评委无法识别的不计得分。</w:t>
            </w:r>
          </w:p>
          <w:p>
            <w:pPr>
              <w:keepNext w:val="0"/>
              <w:keepLines w:val="0"/>
              <w:pageBreakBefore w:val="0"/>
              <w:widowControl/>
              <w:kinsoku/>
              <w:wordWrap/>
              <w:overflowPunct/>
              <w:topLinePunct w:val="0"/>
              <w:bidi w:val="0"/>
              <w:spacing w:line="360" w:lineRule="auto"/>
              <w:textAlignment w:val="auto"/>
              <w:rPr>
                <w:rFonts w:ascii="宋体" w:hAnsi="宋体" w:cs="宋体"/>
                <w:kern w:val="0"/>
                <w:szCs w:val="21"/>
              </w:rPr>
            </w:pPr>
            <w:r>
              <w:rPr>
                <w:rFonts w:hint="eastAsia" w:ascii="宋体" w:hAnsi="宋体" w:cs="宋体"/>
                <w:kern w:val="0"/>
                <w:szCs w:val="21"/>
              </w:rPr>
              <w:t>注：为便于评委评审，履约评价证明文件应附在 “同类项目业绩”证明文件后，每个项目对应一份履约评价证明。</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lang w:val="zh-CN"/>
              </w:rPr>
            </w:pPr>
            <w:r>
              <w:rPr>
                <w:rFonts w:hint="eastAsia" w:ascii="宋体" w:hAnsi="宋体" w:cs="仿宋"/>
                <w:szCs w:val="21"/>
              </w:rPr>
              <w:t>3</w:t>
            </w:r>
          </w:p>
        </w:tc>
        <w:tc>
          <w:tcPr>
            <w:tcW w:w="1143" w:type="dxa"/>
            <w:vAlign w:val="center"/>
          </w:tcPr>
          <w:p>
            <w:pPr>
              <w:keepNext w:val="0"/>
              <w:keepLines w:val="0"/>
              <w:pageBreakBefore w:val="0"/>
              <w:kinsoku/>
              <w:wordWrap/>
              <w:overflowPunct/>
              <w:topLinePunct w:val="0"/>
              <w:bidi w:val="0"/>
              <w:spacing w:line="360" w:lineRule="auto"/>
              <w:jc w:val="center"/>
              <w:textAlignment w:val="auto"/>
              <w:rPr>
                <w:rFonts w:ascii="宋体" w:hAnsi="宋体" w:cs="仿宋"/>
                <w:szCs w:val="21"/>
              </w:rPr>
            </w:pPr>
            <w:r>
              <w:rPr>
                <w:rFonts w:hint="eastAsia" w:ascii="宋体" w:hAnsi="宋体" w:cs="仿宋"/>
                <w:szCs w:val="21"/>
              </w:rPr>
              <w:t>诚信评审</w:t>
            </w:r>
          </w:p>
        </w:tc>
        <w:tc>
          <w:tcPr>
            <w:tcW w:w="709" w:type="dxa"/>
            <w:vAlign w:val="center"/>
          </w:tcPr>
          <w:p>
            <w:pPr>
              <w:keepNext w:val="0"/>
              <w:keepLines w:val="0"/>
              <w:pageBreakBefore w:val="0"/>
              <w:kinsoku/>
              <w:wordWrap/>
              <w:overflowPunct/>
              <w:topLinePunct w:val="0"/>
              <w:bidi w:val="0"/>
              <w:spacing w:line="360" w:lineRule="auto"/>
              <w:jc w:val="center"/>
              <w:textAlignment w:val="auto"/>
              <w:rPr>
                <w:rFonts w:ascii="宋体" w:hAnsi="宋体" w:cs="仿宋"/>
                <w:szCs w:val="21"/>
              </w:rPr>
            </w:pPr>
            <w:r>
              <w:rPr>
                <w:rFonts w:hint="eastAsia" w:ascii="宋体" w:hAnsi="宋体" w:cs="仿宋"/>
                <w:szCs w:val="21"/>
              </w:rPr>
              <w:t>5</w:t>
            </w:r>
          </w:p>
        </w:tc>
        <w:tc>
          <w:tcPr>
            <w:tcW w:w="5953" w:type="dxa"/>
            <w:vAlign w:val="center"/>
          </w:tcPr>
          <w:p>
            <w:pPr>
              <w:pStyle w:val="95"/>
              <w:keepNext w:val="0"/>
              <w:keepLines w:val="0"/>
              <w:pageBreakBefore w:val="0"/>
              <w:kinsoku/>
              <w:wordWrap/>
              <w:overflowPunct/>
              <w:topLinePunct w:val="0"/>
              <w:bidi w:val="0"/>
              <w:spacing w:line="360" w:lineRule="auto"/>
              <w:ind w:firstLine="0" w:firstLineChars="0"/>
              <w:textAlignment w:val="auto"/>
              <w:rPr>
                <w:rFonts w:ascii="宋体" w:hAnsi="宋体"/>
                <w:szCs w:val="21"/>
              </w:rPr>
            </w:pPr>
            <w:r>
              <w:rPr>
                <w:rFonts w:hint="eastAsia" w:ascii="宋体" w:hAnsi="宋体"/>
                <w:szCs w:val="21"/>
              </w:rPr>
              <w:t>（一）评分内容：</w:t>
            </w:r>
          </w:p>
          <w:p>
            <w:pPr>
              <w:keepNext w:val="0"/>
              <w:keepLines w:val="0"/>
              <w:pageBreakBefore w:val="0"/>
              <w:kinsoku/>
              <w:wordWrap/>
              <w:overflowPunct/>
              <w:topLinePunct w:val="0"/>
              <w:bidi w:val="0"/>
              <w:adjustRightInd w:val="0"/>
              <w:snapToGrid w:val="0"/>
              <w:spacing w:line="360" w:lineRule="auto"/>
              <w:textAlignment w:val="auto"/>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hAnsi="宋体"/>
                <w:kern w:val="0"/>
                <w:szCs w:val="21"/>
              </w:rPr>
            </w:pP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hAnsi="宋体"/>
                <w:kern w:val="0"/>
                <w:szCs w:val="21"/>
              </w:rPr>
            </w:pPr>
            <w:r>
              <w:rPr>
                <w:rFonts w:hint="eastAsia" w:ascii="宋体" w:hAnsi="宋体"/>
                <w:kern w:val="0"/>
                <w:szCs w:val="21"/>
              </w:rPr>
              <w:t>（二）评分依据：</w:t>
            </w:r>
          </w:p>
          <w:p>
            <w:pPr>
              <w:keepNext w:val="0"/>
              <w:keepLines w:val="0"/>
              <w:pageBreakBefore w:val="0"/>
              <w:tabs>
                <w:tab w:val="left" w:pos="175"/>
              </w:tabs>
              <w:kinsoku/>
              <w:wordWrap/>
              <w:overflowPunct/>
              <w:topLinePunct w:val="0"/>
              <w:bidi w:val="0"/>
              <w:spacing w:line="360" w:lineRule="auto"/>
              <w:ind w:left="33"/>
              <w:jc w:val="left"/>
              <w:textAlignment w:val="auto"/>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ascii="宋体" w:hAnsi="宋体" w:cs="仿宋"/>
                <w:szCs w:val="21"/>
                <w:lang w:val="zh-CN"/>
              </w:rPr>
            </w:pPr>
            <w:r>
              <w:rPr>
                <w:rFonts w:hint="eastAsia" w:ascii="宋体" w:hAnsi="宋体" w:cs="仿宋"/>
                <w:szCs w:val="21"/>
                <w:lang w:val="zh-CN"/>
              </w:rPr>
              <w:t>专家打分</w:t>
            </w:r>
          </w:p>
        </w:tc>
      </w:tr>
    </w:tbl>
    <w:p>
      <w:pPr>
        <w:pStyle w:val="5"/>
        <w:spacing w:before="0" w:after="0"/>
        <w:jc w:val="left"/>
        <w:rPr>
          <w:rFonts w:asciiTheme="minorEastAsia" w:hAnsiTheme="minorEastAsia"/>
          <w:bCs w:val="0"/>
          <w:sz w:val="21"/>
          <w:szCs w:val="21"/>
        </w:rPr>
      </w:pPr>
      <w:bookmarkStart w:id="10" w:name="_Toc44691394"/>
      <w:bookmarkStart w:id="11" w:name="_Toc44690703"/>
      <w:bookmarkStart w:id="12" w:name="_Toc11512"/>
      <w:bookmarkStart w:id="13" w:name="_Toc44691162"/>
      <w:bookmarkStart w:id="14" w:name="_Toc44690430"/>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2248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4006"/>
      <w:r>
        <w:rPr>
          <w:rFonts w:hint="eastAsia" w:asciiTheme="minorEastAsia" w:hAnsiTheme="minorEastAsia" w:eastAsiaTheme="minorEastAsia"/>
        </w:rPr>
        <w:t>2、政府采购扶持政策</w:t>
      </w:r>
      <w:bookmarkEnd w:id="16"/>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本章政府采购扶持政策第一款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3"/>
        <w:spacing w:beforeLines="50"/>
      </w:pPr>
      <w:bookmarkStart w:id="17" w:name="_Toc30812"/>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声场测听室采购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napToGrid w:val="0"/>
                <w:szCs w:val="21"/>
              </w:rPr>
              <w:t>深圳市第三人民医院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rPr>
              <w:sym w:font="Wingdings 2" w:char="00A3"/>
            </w:r>
            <w:r>
              <w:rPr>
                <w:rFonts w:hint="eastAsia" w:hAnsi="宋体"/>
              </w:rPr>
              <w:t>财政资金/</w:t>
            </w:r>
            <w:r>
              <w:rPr>
                <w:rFonts w:hint="eastAsia" w:hAnsi="宋体"/>
              </w:rPr>
              <w:sym w:font="Wingdings 2" w:char="0052"/>
            </w:r>
            <w:r>
              <w:rPr>
                <w:rFonts w:hint="eastAsia" w:hAnsi="宋体"/>
              </w:rPr>
              <w:t>自筹资金/</w:t>
            </w:r>
            <w:r>
              <w:rPr>
                <w:rFonts w:hint="eastAsia" w:hAnsi="宋体"/>
              </w:rPr>
              <w:sym w:font="Wingdings 2" w:char="00A3"/>
            </w:r>
            <w:r>
              <w:rPr>
                <w:rFonts w:hint="eastAsia" w:hAnsi="宋体"/>
              </w:rPr>
              <w:t>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2023年</w:t>
            </w:r>
            <w:r>
              <w:rPr>
                <w:rFonts w:hint="eastAsia" w:hAnsi="宋体"/>
                <w:b/>
                <w:snapToGrid w:val="0"/>
                <w:szCs w:val="18"/>
                <w:lang w:val="en-US" w:eastAsia="zh-CN"/>
              </w:rPr>
              <w:t>04</w:t>
            </w:r>
            <w:r>
              <w:rPr>
                <w:rFonts w:hint="eastAsia" w:hAnsi="宋体"/>
                <w:b/>
                <w:snapToGrid w:val="0"/>
                <w:szCs w:val="18"/>
              </w:rPr>
              <w:t>月</w:t>
            </w:r>
            <w:r>
              <w:rPr>
                <w:rFonts w:hint="eastAsia" w:hAnsi="宋体"/>
                <w:b/>
                <w:snapToGrid w:val="0"/>
                <w:szCs w:val="18"/>
                <w:lang w:val="en-US" w:eastAsia="zh-CN"/>
              </w:rPr>
              <w:t>03</w:t>
            </w:r>
            <w:r>
              <w:rPr>
                <w:rFonts w:hint="eastAsia" w:hAnsi="宋体"/>
                <w:b/>
                <w:snapToGrid w:val="0"/>
                <w:szCs w:val="18"/>
              </w:rPr>
              <w:t>日14点30分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2023年</w:t>
            </w:r>
            <w:r>
              <w:rPr>
                <w:rFonts w:hint="eastAsia" w:hAnsi="宋体"/>
                <w:b/>
                <w:snapToGrid w:val="0"/>
                <w:szCs w:val="18"/>
                <w:lang w:val="en-US" w:eastAsia="zh-CN"/>
              </w:rPr>
              <w:t>04</w:t>
            </w:r>
            <w:r>
              <w:rPr>
                <w:rFonts w:hint="eastAsia" w:hAnsi="宋体"/>
                <w:b/>
                <w:snapToGrid w:val="0"/>
                <w:szCs w:val="18"/>
              </w:rPr>
              <w:t>月</w:t>
            </w:r>
            <w:r>
              <w:rPr>
                <w:rFonts w:hint="eastAsia" w:hAnsi="宋体"/>
                <w:b/>
                <w:snapToGrid w:val="0"/>
                <w:szCs w:val="18"/>
                <w:lang w:val="en-US" w:eastAsia="zh-CN"/>
              </w:rPr>
              <w:t>03</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hAnsi="宋体"/>
                <w:lang w:val="en-US" w:eastAsia="zh-CN"/>
              </w:rPr>
              <w:t xml:space="preserve">按深财购[2018]27 号文件的代理费用参考标准下调 10%（详见《投标 </w:t>
            </w:r>
          </w:p>
          <w:p>
            <w:pPr>
              <w:pStyle w:val="26"/>
              <w:spacing w:line="360" w:lineRule="auto"/>
              <w:rPr>
                <w:rFonts w:hAnsi="宋体"/>
              </w:rPr>
            </w:pPr>
            <w:r>
              <w:rPr>
                <w:rFonts w:hint="eastAsia" w:hAnsi="宋体"/>
                <w:lang w:val="en-US" w:eastAsia="zh-CN"/>
              </w:rPr>
              <w:t>人须知》），向中标供应商收取，最低收取人民币 4500 元。</w:t>
            </w:r>
          </w:p>
        </w:tc>
      </w:tr>
    </w:tbl>
    <w:p>
      <w:pPr>
        <w:widowControl/>
        <w:jc w:val="left"/>
      </w:pPr>
      <w:r>
        <w:br w:type="page"/>
      </w:r>
    </w:p>
    <w:p/>
    <w:p>
      <w:pPr>
        <w:pStyle w:val="3"/>
      </w:pPr>
      <w:bookmarkStart w:id="18" w:name="_Toc25212"/>
      <w:r>
        <w:rPr>
          <w:rFonts w:hint="eastAsia"/>
        </w:rPr>
        <w:t>第六章  投标人须知</w:t>
      </w:r>
      <w:bookmarkEnd w:id="18"/>
    </w:p>
    <w:p>
      <w:pPr>
        <w:pStyle w:val="5"/>
        <w:spacing w:before="0" w:after="0"/>
      </w:pPr>
      <w:bookmarkStart w:id="19" w:name="_Toc30995"/>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  “货物”是指各种形态和种类的物品，包括原材料、燃料、设备、产品等。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采购人和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2044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28574"/>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snapToGrid w:val="0"/>
          <w:kern w:val="0"/>
          <w:szCs w:val="21"/>
        </w:rPr>
        <w:t>法定代表人（负责人）证明书及授权委托书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（6）投标函（投标文件格式3）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（14）招标文件要求的其他资料或投标人认为需要补充的资料（投标文件格式12）</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（17）产品样品或产品样板（如有）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2301"/>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2559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27180"/>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13335" b="6350"/>
                      <wp:wrapNone/>
                      <wp:docPr id="10"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rWE90QAAAAgBAAAPAAAAAAAAAAEAIAAAACIAAABkcnMvZG93bnJldi54bWxQSwEC&#10;FAAUAAAACACHTuJA59hYf/sBAAADBAAADgAAAAAAAAABACAAAAAgAQAAZHJzL2Uyb0RvYy54bWxQ&#10;SwUGAAAAAAYABgBZAQAAjQU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7780" b="12065"/>
                      <wp:wrapNone/>
                      <wp:docPr id="11"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j/7LTAAAACQEAAA8AAAAAAAAAAQAgAAAAIgAAAGRycy9kb3ducmV2LnhtbFBL&#10;AQIUABQAAAAIAIdO4kBid6Vw+wEAAAMEAAAOAAAAAAAAAAEAIAAAACIBAABkcnMvZTJvRG9jLnht&#10;bFBLBQYAAAAABgAGAFkBAACP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0" r="0" b="0"/>
                      <wp:wrapNone/>
                      <wp:docPr id="9"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rkdN+1QAAAAkB&#10;AAAPAAAAAAAAAAEAIAAAACIAAABkcnMvZG93bnJldi54bWxQSwECFAAUAAAACACHTuJALFK7FeUB&#10;AADjAwAADgAAAAAAAAABACAAAAAkAQAAZHJzL2Uyb0RvYy54bWxQSwUGAAAAAAYABgBZAQAAewUA&#10;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中标（成交）金额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5"/>
        <w:spacing w:before="0" w:after="0"/>
      </w:pPr>
      <w:bookmarkStart w:id="31" w:name="_Toc11470"/>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35.7质疑答复时限</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35.8投诉</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对质疑答复不满意或者未在规定时间内答复的，提出质疑的供应商可以在答复期满后15个工作日内向同级财政部门投诉。</w:t>
      </w:r>
      <w:bookmarkEnd w:id="32"/>
    </w:p>
    <w:p/>
    <w:p/>
    <w:p/>
    <w:p/>
    <w:p/>
    <w:p/>
    <w:p>
      <w:pPr>
        <w:widowControl/>
        <w:jc w:val="left"/>
      </w:pPr>
    </w:p>
    <w:p/>
    <w:p>
      <w:pPr>
        <w:pStyle w:val="3"/>
      </w:pPr>
      <w:bookmarkStart w:id="34" w:name="_Toc21799"/>
      <w:r>
        <w:rPr>
          <w:rFonts w:hint="eastAsia"/>
        </w:rPr>
        <w:t>第七章  投标文件格式</w:t>
      </w:r>
      <w:bookmarkEnd w:id="34"/>
    </w:p>
    <w:p>
      <w:pPr>
        <w:jc w:val="center"/>
        <w:rPr>
          <w:b/>
          <w:sz w:val="52"/>
          <w:szCs w:val="52"/>
        </w:rPr>
      </w:pPr>
    </w:p>
    <w:p>
      <w:pPr>
        <w:pStyle w:val="5"/>
        <w:spacing w:line="400" w:lineRule="exact"/>
        <w:rPr>
          <w:rFonts w:ascii="仿宋" w:hAnsi="仿宋" w:eastAsia="仿宋"/>
        </w:rPr>
      </w:pPr>
      <w:bookmarkStart w:id="35" w:name="_Toc14934"/>
      <w:bookmarkStart w:id="36" w:name="_Toc44691163"/>
      <w:bookmarkStart w:id="37" w:name="_Toc44691395"/>
      <w:bookmarkStart w:id="38" w:name="_Toc44690704"/>
      <w:bookmarkStart w:id="39" w:name="_Toc44690431"/>
      <w:bookmarkStart w:id="40" w:name="_Toc25194"/>
      <w:bookmarkStart w:id="41" w:name="_Toc31468"/>
      <w:bookmarkStart w:id="42" w:name="_Toc31631"/>
      <w:bookmarkStart w:id="43" w:name="_Toc11772"/>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rPr>
          <w:b/>
          <w:bCs/>
        </w:rPr>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bookmarkStart w:id="44" w:name="_投标文件格式（第一册）"/>
      <w:bookmarkEnd w:id="44"/>
      <w:bookmarkStart w:id="45" w:name="q0"/>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46" w:name="_Toc6504"/>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注：此表应与“法定代表人（负责人）证明书、法定代表人（负责人）授权委托书”一起密封于一信封，在递交投标文件时单独交予</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5"/>
        <w:spacing w:line="400" w:lineRule="exact"/>
        <w:rPr>
          <w:rFonts w:ascii="仿宋" w:hAnsi="仿宋" w:eastAsia="仿宋"/>
        </w:rPr>
      </w:pPr>
      <w:bookmarkStart w:id="48" w:name="_Toc32347"/>
      <w:bookmarkStart w:id="49" w:name="_Toc73610158"/>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rFonts w:ascii="宋体" w:hAnsi="宋体"/>
          <w:szCs w:val="21"/>
        </w:rPr>
      </w:pPr>
    </w:p>
    <w:p>
      <w:pPr>
        <w:widowControl/>
        <w:jc w:val="left"/>
        <w:rPr>
          <w:rFonts w:ascii="宋体" w:hAnsi="宋体"/>
          <w:szCs w:val="21"/>
        </w:rPr>
      </w:pPr>
      <w:r>
        <w:rPr>
          <w:rFonts w:ascii="宋体" w:hAnsi="宋体"/>
          <w:szCs w:val="21"/>
        </w:rPr>
        <w:br w:type="page"/>
      </w:r>
    </w:p>
    <w:p>
      <w:pPr>
        <w:widowControl/>
        <w:jc w:val="left"/>
        <w:rPr>
          <w:rFonts w:ascii="宋体" w:hAnsi="宋体"/>
          <w:szCs w:val="21"/>
        </w:rPr>
      </w:pPr>
    </w:p>
    <w:p>
      <w:pPr>
        <w:pStyle w:val="5"/>
        <w:spacing w:line="400" w:lineRule="exact"/>
        <w:rPr>
          <w:rFonts w:ascii="仿宋" w:hAnsi="仿宋" w:eastAsia="仿宋"/>
        </w:rPr>
      </w:pPr>
      <w:bookmarkStart w:id="50" w:name="_Toc32506"/>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1" w:name="_Toc44691164"/>
      <w:bookmarkStart w:id="52" w:name="_Toc44691396"/>
      <w:bookmarkStart w:id="53" w:name="_Toc44690432"/>
      <w:bookmarkStart w:id="54" w:name="_Toc44690705"/>
      <w:r>
        <w:rPr>
          <w:rFonts w:hint="eastAsia" w:asciiTheme="minorEastAsia" w:hAnsiTheme="minorEastAsia" w:eastAsiaTheme="minorEastAsia"/>
          <w:sz w:val="24"/>
        </w:rPr>
        <w:t>格式1  投标人资格证明文件</w:t>
      </w:r>
      <w:bookmarkEnd w:id="51"/>
      <w:bookmarkEnd w:id="52"/>
      <w:bookmarkEnd w:id="53"/>
      <w:bookmarkEnd w:id="54"/>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hint="eastAsia" w:ascii="宋体" w:hAnsi="宋体" w:eastAsia="宋体"/>
          <w:lang w:val="en-US" w:eastAsia="zh-CN"/>
        </w:rPr>
      </w:pPr>
      <w:r>
        <w:rPr>
          <w:rFonts w:hint="eastAsia" w:ascii="宋体" w:hAnsi="宋体"/>
          <w:lang w:val="en-US" w:eastAsia="zh-CN"/>
        </w:rPr>
        <w:t>3、</w:t>
      </w:r>
      <w:r>
        <w:rPr>
          <w:rFonts w:hint="eastAsia" w:cs="仿宋" w:asciiTheme="minorEastAsia" w:hAnsiTheme="minorEastAsia" w:eastAsiaTheme="minorEastAsia"/>
          <w:bCs/>
        </w:rPr>
        <w:t>国家企业信用信息公示系统（https://www.gsxt.gov.cn/index.html）或机关赋码和事业单位登记管理网（http://www.gjsy.gov.cn/sydwfrxxcx/）或全国社会组织信用信息公示平台（https://xxgs.chinanpo.mca.gov.cn/gsxt/newList）网站供应商信息查询截图</w:t>
      </w:r>
    </w:p>
    <w:p>
      <w:pPr>
        <w:adjustRightInd w:val="0"/>
        <w:snapToGrid w:val="0"/>
        <w:spacing w:line="360" w:lineRule="auto"/>
        <w:ind w:firstLine="424" w:firstLineChars="202"/>
        <w:rPr>
          <w:rFonts w:ascii="宋体" w:hAnsi="宋体"/>
        </w:rPr>
      </w:pPr>
      <w:r>
        <w:rPr>
          <w:rFonts w:hint="eastAsia" w:ascii="宋体" w:hAnsi="宋体"/>
          <w:lang w:val="en-US" w:eastAsia="zh-CN"/>
        </w:rPr>
        <w:t>4</w:t>
      </w:r>
      <w:r>
        <w:rPr>
          <w:rFonts w:hint="eastAsia" w:ascii="宋体" w:hAnsi="宋体"/>
        </w:rPr>
        <w:t>、其它资格证明材料（如有，按第一章投标邀请“申请人的资格要求”提供）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kern w:val="0"/>
          <w:sz w:val="28"/>
        </w:rPr>
      </w:pPr>
      <w:r>
        <w:rPr>
          <w:b/>
          <w:snapToGrid w:val="0"/>
          <w:kern w:val="0"/>
          <w:sz w:val="28"/>
        </w:rPr>
        <w:br w:type="page"/>
      </w: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00" w:lineRule="auto"/>
        <w:jc w:val="center"/>
        <w:rPr>
          <w:b/>
          <w:snapToGrid w:val="0"/>
          <w:sz w:val="32"/>
          <w:szCs w:val="32"/>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法定代表人（负责人）证明书及授权委托书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8"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27ZfYAAAACgEAAA8AAAAAAAAAAQAgAAAAIgAAAGRycy9kb3ducmV2LnhtbFBL&#10;AQIUABQAAAAIAIdO4kBX8ahQ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7"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X9fxdkAAAAKAQAADwAAAAAAAAABACAAAAAiAAAAZHJzL2Rvd25yZXYueG1s&#10;UEsBAhQAFAAAAAgAh07iQAjCfLL3AQAALQQAAA4AAAAAAAAAAQAgAAAAKAEAAGRycy9lMm9Eb2Mu&#10;eG1sUEsFBgAAAAAGAAYAWQEAAJEFAAAAAA==&#10;">
                <v:fill on="t" focussize="0,0"/>
                <v:stroke color="#000000" joinstyle="miter"/>
                <v:imagedata o:title=""/>
                <o:lock v:ext="edit" aspectratio="f"/>
                <v:textbo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5"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5"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KcuhdgAAAAKAQAADwAAAAAAAAABACAAAAAiAAAAZHJzL2Rvd25yZXYueG1sUEsB&#10;AhQAFAAAAAgAh07iQGz2bGv1AQAALQQAAA4AAAAAAAAAAQAgAAAAJwEAAGRycy9lMm9Eb2MueG1s&#10;UEsFBgAAAAAGAAYAWQEAAI4FA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6"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vrBjCPcBAAAt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5"/>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widowControl/>
        <w:snapToGrid w:val="0"/>
        <w:spacing w:line="360" w:lineRule="auto"/>
        <w:jc w:val="left"/>
        <w:outlineLvl w:val="4"/>
        <w:rPr>
          <w:rFonts w:ascii="仿宋" w:hAnsi="仿宋" w:eastAsia="仿宋"/>
          <w:b/>
          <w:bCs/>
          <w:color w:val="FF0000"/>
          <w:kern w:val="0"/>
          <w:sz w:val="25"/>
          <w:szCs w:val="25"/>
        </w:rPr>
      </w:pPr>
      <w:r>
        <w:rPr>
          <w:rFonts w:hint="eastAsia" w:ascii="仿宋" w:hAnsi="仿宋" w:eastAsia="仿宋"/>
          <w:b/>
          <w:bCs/>
          <w:color w:val="FF0000"/>
          <w:kern w:val="0"/>
          <w:sz w:val="25"/>
          <w:szCs w:val="25"/>
        </w:rPr>
        <w:t>填写指引：</w:t>
      </w:r>
    </w:p>
    <w:p>
      <w:pPr>
        <w:widowControl/>
        <w:snapToGrid w:val="0"/>
        <w:spacing w:line="360" w:lineRule="auto"/>
        <w:jc w:val="left"/>
        <w:rPr>
          <w:rFonts w:asciiTheme="minorEastAsia" w:hAnsiTheme="minorEastAsia" w:eastAsiaTheme="minorEastAsia"/>
          <w:color w:val="FF0000"/>
          <w:kern w:val="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w:t>
      </w:r>
      <w:r>
        <w:rPr>
          <w:rFonts w:asciiTheme="minorEastAsia" w:hAnsiTheme="minorEastAsia" w:eastAsiaTheme="minorEastAsia"/>
          <w:color w:val="FF0000"/>
          <w:kern w:val="0"/>
          <w:szCs w:val="21"/>
        </w:rPr>
        <w:t>1</w:t>
      </w:r>
      <w:r>
        <w:rPr>
          <w:rFonts w:hint="eastAsia" w:asciiTheme="minorEastAsia" w:hAnsiTheme="minorEastAsia" w:eastAsiaTheme="minorEastAsia"/>
          <w:color w:val="FF0000"/>
          <w:kern w:val="0"/>
          <w:szCs w:val="21"/>
        </w:rPr>
        <w:t>)</w:t>
      </w:r>
      <w:r>
        <w:rPr>
          <w:rFonts w:hint="eastAsia" w:asciiTheme="minorEastAsia" w:hAnsiTheme="minorEastAsia" w:eastAsiaTheme="minorEastAsia"/>
          <w:color w:val="FF0000"/>
          <w:szCs w:val="21"/>
        </w:rPr>
        <w:t xml:space="preserve"> </w:t>
      </w:r>
      <w:r>
        <w:rPr>
          <w:rFonts w:hint="eastAsia" w:asciiTheme="minorEastAsia" w:hAnsiTheme="minorEastAsia" w:eastAsiaTheme="minorEastAsia"/>
          <w:color w:val="FF0000"/>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w:t>
      </w:r>
      <w:r>
        <w:rPr>
          <w:rFonts w:asciiTheme="minorEastAsia" w:hAnsiTheme="minorEastAsia" w:eastAsiaTheme="minorEastAsia"/>
          <w:color w:val="FF0000"/>
          <w:kern w:val="0"/>
          <w:szCs w:val="21"/>
        </w:rPr>
        <w:t>2</w:t>
      </w:r>
      <w:r>
        <w:rPr>
          <w:rFonts w:hint="eastAsia" w:asciiTheme="minorEastAsia" w:hAnsiTheme="minorEastAsia" w:eastAsiaTheme="minorEastAsia"/>
          <w:color w:val="FF0000"/>
          <w:kern w:val="0"/>
          <w:szCs w:val="21"/>
        </w:rPr>
        <w:t>)</w:t>
      </w:r>
      <w:bookmarkStart w:id="56" w:name="_Hlk71925120"/>
      <w:r>
        <w:rPr>
          <w:rFonts w:hint="eastAsia" w:asciiTheme="minorEastAsia" w:hAnsiTheme="minorEastAsia" w:eastAsiaTheme="minorEastAsia"/>
          <w:color w:val="FF0000"/>
          <w:kern w:val="0"/>
          <w:szCs w:val="21"/>
        </w:rPr>
        <w:t>《关于印发中小企业划型标准规定的通知》（工信部联企业〔2011〕300 号</w:t>
      </w:r>
      <w:bookmarkEnd w:id="56"/>
      <w:r>
        <w:rPr>
          <w:rFonts w:hint="eastAsia" w:asciiTheme="minorEastAsia" w:hAnsiTheme="minorEastAsia" w:eastAsiaTheme="minorEastAsia"/>
          <w:color w:val="FF0000"/>
          <w:kern w:val="0"/>
          <w:szCs w:val="21"/>
        </w:rPr>
        <w:t>）</w:t>
      </w:r>
    </w:p>
    <w:p>
      <w:pPr>
        <w:widowControl/>
        <w:snapToGrid w:val="0"/>
        <w:spacing w:line="360" w:lineRule="auto"/>
        <w:ind w:firstLine="555"/>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(3)</w:t>
      </w:r>
      <w:r>
        <w:rPr>
          <w:rFonts w:hint="eastAsia" w:asciiTheme="minorEastAsia" w:hAnsiTheme="minorEastAsia" w:eastAsiaTheme="minorEastAsia"/>
          <w:color w:val="FF0000"/>
          <w:szCs w:val="21"/>
        </w:rPr>
        <w:t xml:space="preserve"> </w:t>
      </w:r>
      <w:r>
        <w:rPr>
          <w:rFonts w:hint="eastAsia" w:asciiTheme="minorEastAsia" w:hAnsiTheme="minorEastAsia" w:eastAsiaTheme="minorEastAsia"/>
          <w:color w:val="FF0000"/>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(4)</w:t>
      </w:r>
      <w:r>
        <w:rPr>
          <w:rFonts w:hint="eastAsia" w:asciiTheme="minorEastAsia" w:hAnsiTheme="minorEastAsia" w:eastAsiaTheme="minorEastAsia"/>
          <w:color w:val="FF0000"/>
          <w:szCs w:val="21"/>
        </w:rPr>
        <w:t xml:space="preserve"> </w:t>
      </w:r>
      <w:r>
        <w:rPr>
          <w:rFonts w:hint="eastAsia" w:asciiTheme="minorEastAsia" w:hAnsiTheme="minorEastAsia" w:eastAsiaTheme="minorEastAsia"/>
          <w:color w:val="FF0000"/>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color w:val="FF0000"/>
          <w:szCs w:val="21"/>
        </w:rPr>
      </w:pPr>
      <w:r>
        <w:rPr>
          <w:rFonts w:hint="eastAsia" w:asciiTheme="minorEastAsia" w:hAnsiTheme="minorEastAsia" w:eastAsiaTheme="minorEastAsia"/>
          <w:color w:val="FF0000"/>
          <w:kern w:val="0"/>
          <w:szCs w:val="21"/>
        </w:rPr>
        <w:t>(5)</w:t>
      </w:r>
      <w:r>
        <w:rPr>
          <w:rFonts w:hint="eastAsia" w:asciiTheme="minorEastAsia" w:hAnsiTheme="minorEastAsia" w:eastAsiaTheme="minorEastAsia"/>
          <w:color w:val="FF0000"/>
          <w:szCs w:val="21"/>
        </w:rPr>
        <w:t xml:space="preserve"> </w:t>
      </w:r>
      <w:r>
        <w:rPr>
          <w:rFonts w:hint="eastAsia" w:asciiTheme="minorEastAsia" w:hAnsiTheme="minorEastAsia" w:eastAsiaTheme="minorEastAsia"/>
          <w:color w:val="FF0000"/>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 xml:space="preserve">    4、《中小企业声明函》填写要求：</w:t>
      </w:r>
    </w:p>
    <w:p>
      <w:pPr>
        <w:widowControl/>
        <w:snapToGrid w:val="0"/>
        <w:spacing w:line="360" w:lineRule="auto"/>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color w:val="FF0000"/>
          <w:kern w:val="0"/>
          <w:szCs w:val="21"/>
        </w:rPr>
        <w:t>；</w:t>
      </w:r>
    </w:p>
    <w:p>
      <w:pPr>
        <w:widowControl/>
        <w:snapToGrid w:val="0"/>
        <w:spacing w:line="360" w:lineRule="auto"/>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color w:val="FF0000"/>
          <w:kern w:val="0"/>
          <w:szCs w:val="21"/>
        </w:rPr>
        <w:t>；</w:t>
      </w:r>
    </w:p>
    <w:p>
      <w:pPr>
        <w:widowControl/>
        <w:snapToGrid w:val="0"/>
        <w:spacing w:line="360" w:lineRule="auto"/>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color w:val="FF0000"/>
          <w:kern w:val="0"/>
          <w:szCs w:val="21"/>
        </w:rPr>
        <w:t>；</w:t>
      </w:r>
    </w:p>
    <w:p>
      <w:pPr>
        <w:widowControl/>
        <w:snapToGrid w:val="0"/>
        <w:spacing w:line="360" w:lineRule="auto"/>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 xml:space="preserve">    （4）在“</w:t>
      </w:r>
      <w:r>
        <w:rPr>
          <w:rFonts w:asciiTheme="minorEastAsia" w:hAnsiTheme="minorEastAsia" w:eastAsiaTheme="minorEastAsia"/>
          <w:color w:val="FF0000"/>
          <w:szCs w:val="21"/>
        </w:rPr>
        <w:t>采购文件</w:t>
      </w:r>
      <w:r>
        <w:rPr>
          <w:rFonts w:hint="eastAsia" w:asciiTheme="minorEastAsia" w:hAnsiTheme="minorEastAsia" w:eastAsiaTheme="minorEastAsia"/>
          <w:color w:val="FF0000"/>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color w:val="FF0000"/>
          <w:kern w:val="0"/>
          <w:szCs w:val="21"/>
        </w:rPr>
        <w:t>；</w:t>
      </w:r>
    </w:p>
    <w:p>
      <w:pPr>
        <w:widowControl/>
        <w:snapToGrid w:val="0"/>
        <w:spacing w:line="360" w:lineRule="auto"/>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 xml:space="preserve">    （5）在“企业名称”下划线处如实填写</w:t>
      </w:r>
      <w:r>
        <w:rPr>
          <w:rFonts w:hint="eastAsia" w:asciiTheme="minorEastAsia" w:hAnsiTheme="minorEastAsia" w:eastAsiaTheme="minorEastAsia"/>
          <w:b/>
          <w:color w:val="FF0000"/>
          <w:kern w:val="0"/>
          <w:szCs w:val="21"/>
        </w:rPr>
        <w:t>制造商（货物类）或承接企业名称（服务或工程类）</w:t>
      </w:r>
      <w:r>
        <w:rPr>
          <w:rFonts w:hint="eastAsia" w:asciiTheme="minorEastAsia" w:hAnsiTheme="minorEastAsia" w:eastAsiaTheme="minorEastAsia"/>
          <w:color w:val="FF0000"/>
          <w:kern w:val="0"/>
          <w:szCs w:val="21"/>
        </w:rPr>
        <w:t>；在“从业人员”、“营业收入”、“资产总额”下划线处如实填写从业人员、营业收入、资产总额；在“中型企业、小型企业、微型企业”下划线处如实依照工信部联企业〔2011〕300号文填写相应的企业类型；从业人员、营业收入、资产总额填报上一年度数据，无上一年度数据的新成立企业可以不填报。</w:t>
      </w:r>
    </w:p>
    <w:p>
      <w:pPr>
        <w:widowControl/>
        <w:snapToGrid w:val="0"/>
        <w:spacing w:line="360" w:lineRule="auto"/>
        <w:jc w:val="left"/>
        <w:rPr>
          <w:b/>
          <w:bCs/>
          <w:color w:val="FF0000"/>
        </w:rPr>
      </w:pPr>
      <w:r>
        <w:rPr>
          <w:rFonts w:hint="eastAsia" w:asciiTheme="minorEastAsia" w:hAnsiTheme="minorEastAsia" w:eastAsiaTheme="minorEastAsia"/>
          <w:color w:val="FF0000"/>
          <w:kern w:val="0"/>
          <w:szCs w:val="21"/>
        </w:rPr>
        <w:t xml:space="preserve">    5、《残疾人福利性单位声明函》及《监狱企业声明函》中的投标人一栏填写投标单位名称，非制造商名称或其他单位名称。</w:t>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6"/>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4"/>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7" w:name="_Toc44691165"/>
      <w:bookmarkStart w:id="58" w:name="_Toc44691397"/>
      <w:bookmarkStart w:id="59" w:name="_Toc44690706"/>
      <w:bookmarkStart w:id="60" w:name="_Toc44690433"/>
      <w:r>
        <w:rPr>
          <w:rFonts w:hint="eastAsia" w:asciiTheme="minorEastAsia" w:hAnsiTheme="minorEastAsia" w:eastAsiaTheme="minorEastAsia"/>
          <w:sz w:val="24"/>
        </w:rPr>
        <w:t>格式5  开标一览表</w:t>
      </w:r>
      <w:bookmarkEnd w:id="57"/>
      <w:bookmarkEnd w:id="58"/>
      <w:bookmarkEnd w:id="59"/>
      <w:bookmarkEnd w:id="60"/>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声场测听室采购</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1" w:name="_Toc44690707"/>
      <w:bookmarkStart w:id="62" w:name="_Toc44691398"/>
      <w:bookmarkStart w:id="63" w:name="_Toc44691166"/>
      <w:bookmarkStart w:id="64" w:name="_Toc44690434"/>
      <w:r>
        <w:rPr>
          <w:rFonts w:hint="eastAsia" w:asciiTheme="minorEastAsia" w:hAnsiTheme="minorEastAsia" w:eastAsiaTheme="minorEastAsia"/>
          <w:sz w:val="24"/>
        </w:rPr>
        <w:t>格式6  报价表</w:t>
      </w:r>
      <w:bookmarkEnd w:id="61"/>
      <w:bookmarkEnd w:id="62"/>
      <w:bookmarkEnd w:id="63"/>
      <w:bookmarkEnd w:id="64"/>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5" w:name="_Toc44691167"/>
      <w:bookmarkStart w:id="66" w:name="_Toc44691399"/>
      <w:bookmarkStart w:id="67" w:name="_Toc44690435"/>
      <w:bookmarkStart w:id="68" w:name="_Toc44690708"/>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5"/>
      <w:bookmarkEnd w:id="66"/>
      <w:bookmarkEnd w:id="67"/>
      <w:bookmarkEnd w:id="68"/>
    </w:p>
    <w:p>
      <w:pPr>
        <w:pStyle w:val="8"/>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left"/>
        <w:rPr>
          <w:rFonts w:ascii="Times New Roman" w:hAnsi="Times New Roman"/>
          <w:b/>
          <w:sz w:val="21"/>
          <w:szCs w:val="21"/>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4"/>
        <w:spacing w:before="0"/>
        <w:rPr>
          <w:rFonts w:ascii="宋体" w:hAnsi="宋体"/>
          <w:sz w:val="28"/>
        </w:rPr>
      </w:pPr>
    </w:p>
    <w:p/>
    <w:p/>
    <w:p/>
    <w:p/>
    <w:p/>
    <w:p/>
    <w:p/>
    <w:p/>
    <w:p>
      <w:pPr>
        <w:widowControl/>
        <w:jc w:val="left"/>
        <w:rPr>
          <w:rFonts w:asciiTheme="minorEastAsia" w:hAnsiTheme="minorEastAsia" w:eastAsiaTheme="minorEastAsia"/>
          <w:b/>
          <w:sz w:val="24"/>
        </w:rPr>
      </w:pPr>
      <w:bookmarkStart w:id="69" w:name="_Toc44691400"/>
      <w:bookmarkStart w:id="70" w:name="_Toc44690436"/>
      <w:bookmarkStart w:id="71" w:name="_Toc44690709"/>
      <w:bookmarkStart w:id="72" w:name="_Toc44691168"/>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9"/>
      <w:bookmarkEnd w:id="70"/>
      <w:bookmarkEnd w:id="71"/>
      <w:bookmarkEnd w:id="72"/>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3" w:name="q17"/>
      <w:bookmarkEnd w:id="73"/>
      <w:bookmarkStart w:id="74" w:name="q16"/>
      <w:bookmarkEnd w:id="74"/>
      <w:bookmarkStart w:id="75" w:name="q15"/>
      <w:bookmarkEnd w:id="75"/>
      <w:bookmarkStart w:id="76" w:name="_格式4__"/>
      <w:bookmarkEnd w:id="76"/>
      <w:bookmarkStart w:id="77" w:name="_格式2__投标保证金凭证"/>
      <w:bookmarkEnd w:id="77"/>
      <w:bookmarkStart w:id="78" w:name="_格式3__"/>
      <w:bookmarkEnd w:id="78"/>
      <w:bookmarkStart w:id="79" w:name="_格式5__"/>
      <w:bookmarkEnd w:id="79"/>
      <w:r>
        <w:rPr>
          <w:rFonts w:asciiTheme="minorEastAsia" w:hAnsiTheme="minorEastAsia" w:eastAsiaTheme="minorEastAsia"/>
          <w:sz w:val="24"/>
        </w:rPr>
        <w:tab/>
      </w:r>
      <w:bookmarkStart w:id="80" w:name="_Toc44690437"/>
      <w:bookmarkStart w:id="81" w:name="_Toc44690710"/>
      <w:bookmarkStart w:id="82" w:name="_Toc44691169"/>
      <w:bookmarkStart w:id="83" w:name="_Toc44691401"/>
      <w:r>
        <w:rPr>
          <w:rFonts w:hint="eastAsia" w:asciiTheme="minorEastAsia" w:hAnsiTheme="minorEastAsia" w:eastAsiaTheme="minorEastAsia"/>
          <w:sz w:val="24"/>
        </w:rPr>
        <w:t>格式10  投标人情况介绍</w:t>
      </w:r>
      <w:bookmarkEnd w:id="80"/>
      <w:bookmarkEnd w:id="81"/>
      <w:bookmarkEnd w:id="82"/>
      <w:bookmarkEnd w:id="83"/>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spacing w:line="360" w:lineRule="auto"/>
        <w:jc w:val="center"/>
        <w:rPr>
          <w:b/>
          <w:szCs w:val="21"/>
        </w:rPr>
      </w:pPr>
      <w:bookmarkStart w:id="84" w:name="_格式7__投标人资格声明"/>
      <w:bookmarkEnd w:id="84"/>
      <w:bookmarkStart w:id="85" w:name="q40"/>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5"/>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3"/>
        <w:spacing w:before="0" w:after="0"/>
      </w:pPr>
      <w:bookmarkStart w:id="86" w:name="_Toc28139"/>
      <w:r>
        <w:rPr>
          <w:rFonts w:hint="eastAsia"/>
        </w:rPr>
        <w:t>第八章  合同条款</w:t>
      </w:r>
      <w:bookmarkEnd w:id="86"/>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7" w:name="_Toc4381"/>
      <w:r>
        <w:rPr>
          <w:rFonts w:hint="eastAsia"/>
        </w:rPr>
        <w:t>第九章  附件</w:t>
      </w:r>
      <w:bookmarkEnd w:id="87"/>
    </w:p>
    <w:p>
      <w:pPr>
        <w:keepNext/>
        <w:keepLines/>
        <w:jc w:val="center"/>
        <w:outlineLvl w:val="2"/>
        <w:rPr>
          <w:rFonts w:ascii="宋体" w:hAnsi="宋体"/>
          <w:b/>
          <w:bCs/>
          <w:kern w:val="0"/>
          <w:sz w:val="28"/>
          <w:szCs w:val="32"/>
        </w:rPr>
      </w:pPr>
      <w:bookmarkStart w:id="88" w:name="_Toc20517"/>
      <w:bookmarkStart w:id="89" w:name="_Toc73613644"/>
      <w:bookmarkStart w:id="90" w:name="_Toc73610162"/>
      <w:r>
        <w:rPr>
          <w:rFonts w:hint="eastAsia" w:ascii="宋体" w:hAnsi="宋体"/>
          <w:b/>
          <w:bCs/>
          <w:kern w:val="0"/>
          <w:sz w:val="28"/>
          <w:szCs w:val="32"/>
        </w:rPr>
        <w:t>一、财政部 工业和信息化部关于印发《政府采购促进中小企业发展管理办法》的通知</w:t>
      </w:r>
      <w:bookmarkEnd w:id="88"/>
      <w:bookmarkEnd w:id="89"/>
      <w:bookmarkEnd w:id="90"/>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keepNext/>
        <w:keepLines/>
        <w:jc w:val="center"/>
        <w:outlineLvl w:val="2"/>
        <w:rPr>
          <w:rFonts w:ascii="宋体" w:hAnsi="宋体"/>
          <w:b/>
          <w:bCs/>
          <w:kern w:val="0"/>
          <w:sz w:val="28"/>
          <w:szCs w:val="32"/>
        </w:rPr>
      </w:pPr>
      <w:bookmarkStart w:id="91" w:name="_Toc73613645"/>
      <w:bookmarkStart w:id="92" w:name="_Toc28455"/>
      <w:bookmarkStart w:id="93" w:name="_Toc73610163"/>
      <w:r>
        <w:rPr>
          <w:rFonts w:hint="eastAsia" w:ascii="宋体" w:hAnsi="宋体"/>
          <w:b/>
          <w:bCs/>
          <w:kern w:val="0"/>
          <w:sz w:val="28"/>
          <w:szCs w:val="32"/>
        </w:rPr>
        <w:t>二、关于印发中小企业划型标准规定的通知</w:t>
      </w:r>
      <w:bookmarkEnd w:id="91"/>
      <w:bookmarkEnd w:id="92"/>
      <w:bookmarkEnd w:id="93"/>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keepNext/>
        <w:keepLines/>
        <w:jc w:val="center"/>
        <w:outlineLvl w:val="2"/>
        <w:rPr>
          <w:rFonts w:asciiTheme="minorEastAsia" w:hAnsiTheme="minorEastAsia" w:eastAsiaTheme="minorEastAsia"/>
          <w:b/>
          <w:bCs/>
          <w:kern w:val="0"/>
          <w:sz w:val="28"/>
          <w:szCs w:val="32"/>
        </w:rPr>
      </w:pPr>
      <w:bookmarkStart w:id="94" w:name="_Toc73613646"/>
      <w:bookmarkStart w:id="95" w:name="_Toc73610164"/>
      <w:bookmarkStart w:id="96" w:name="_Toc15362"/>
      <w:r>
        <w:rPr>
          <w:rFonts w:hint="eastAsia" w:asciiTheme="minorEastAsia" w:hAnsiTheme="minorEastAsia" w:eastAsiaTheme="minorEastAsia"/>
          <w:b/>
          <w:kern w:val="0"/>
          <w:sz w:val="28"/>
          <w:szCs w:val="32"/>
        </w:rPr>
        <w:t>三、</w:t>
      </w:r>
      <w:r>
        <w:rPr>
          <w:rFonts w:asciiTheme="minorEastAsia" w:hAnsiTheme="minorEastAsia" w:eastAsiaTheme="minorEastAsia"/>
          <w:b/>
          <w:kern w:val="0"/>
          <w:sz w:val="28"/>
          <w:szCs w:val="32"/>
        </w:rPr>
        <w:t>国家统计局关于印发《统计上大中小微型企业划分办法 （2017）》的通知</w:t>
      </w:r>
      <w:bookmarkEnd w:id="94"/>
      <w:bookmarkEnd w:id="95"/>
      <w:r>
        <w:rPr>
          <w:rFonts w:asciiTheme="minorEastAsia" w:hAnsiTheme="minorEastAsia" w:eastAsiaTheme="minorEastAsia"/>
          <w:b/>
          <w:kern w:val="0"/>
          <w:sz w:val="28"/>
          <w:szCs w:val="32"/>
        </w:rPr>
        <w:t> </w:t>
      </w:r>
      <w:bookmarkEnd w:id="96"/>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keepNext/>
        <w:keepLines/>
        <w:jc w:val="center"/>
        <w:outlineLvl w:val="2"/>
        <w:rPr>
          <w:rFonts w:ascii="宋体" w:hAnsi="宋体"/>
          <w:b/>
          <w:bCs/>
          <w:kern w:val="0"/>
          <w:sz w:val="28"/>
          <w:szCs w:val="32"/>
        </w:rPr>
      </w:pPr>
      <w:bookmarkStart w:id="97" w:name="_Toc73613647"/>
      <w:bookmarkStart w:id="98" w:name="_Toc23865"/>
      <w:bookmarkStart w:id="99" w:name="_Toc73610165"/>
      <w:r>
        <w:rPr>
          <w:rFonts w:hint="eastAsia" w:ascii="宋体" w:hAnsi="宋体"/>
          <w:b/>
          <w:bCs/>
          <w:kern w:val="0"/>
          <w:sz w:val="28"/>
          <w:szCs w:val="32"/>
        </w:rPr>
        <w:t>四、</w:t>
      </w:r>
      <w:r>
        <w:rPr>
          <w:rFonts w:ascii="宋体" w:hAnsi="宋体"/>
          <w:b/>
          <w:bCs/>
          <w:kern w:val="0"/>
          <w:sz w:val="28"/>
          <w:szCs w:val="32"/>
        </w:rPr>
        <w:t>财政部 民政部 中国残疾人联合会关于促进残疾人就业 政府采购政策的通知</w:t>
      </w:r>
      <w:bookmarkEnd w:id="97"/>
      <w:bookmarkEnd w:id="98"/>
      <w:bookmarkEnd w:id="99"/>
      <w:r>
        <w:rPr>
          <w:rFonts w:ascii="宋体" w:hAnsi="宋体"/>
          <w:b/>
          <w:bCs/>
          <w:kern w:val="0"/>
          <w:sz w:val="28"/>
          <w:szCs w:val="32"/>
        </w:rP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keepNext/>
        <w:keepLines/>
        <w:jc w:val="center"/>
        <w:outlineLvl w:val="2"/>
        <w:rPr>
          <w:rFonts w:ascii="宋体" w:hAnsi="宋体"/>
          <w:b/>
          <w:bCs/>
          <w:kern w:val="0"/>
          <w:sz w:val="28"/>
          <w:szCs w:val="32"/>
        </w:rPr>
      </w:pPr>
      <w:bookmarkStart w:id="100" w:name="_Toc4588"/>
      <w:r>
        <w:rPr>
          <w:rFonts w:hint="eastAsia" w:ascii="宋体" w:hAnsi="宋体"/>
          <w:b/>
          <w:bCs/>
          <w:kern w:val="0"/>
          <w:sz w:val="28"/>
          <w:szCs w:val="32"/>
        </w:rPr>
        <w:t>五、财政部 司法部关于政府采购支持监狱企业发展有关问题的通知</w:t>
      </w:r>
      <w:bookmarkEnd w:id="100"/>
      <w:r>
        <w:rPr>
          <w:rFonts w:hint="eastAsia" w:ascii="宋体" w:hAnsi="宋体"/>
          <w:b/>
          <w:bCs/>
          <w:kern w:val="0"/>
          <w:sz w:val="28"/>
          <w:szCs w:val="32"/>
        </w:rP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p>
      <w:pPr>
        <w:pStyle w:val="5"/>
        <w:spacing w:before="0" w:after="0"/>
        <w:rPr>
          <w:rFonts w:asciiTheme="minorEastAsia" w:hAnsiTheme="minorEastAsia"/>
          <w:szCs w:val="21"/>
        </w:rPr>
      </w:pP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Wingdings 2">
    <w:panose1 w:val="05020102010507070707"/>
    <w:charset w:val="00"/>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5</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项目名称：声场测听室采购                                                          项目编号：SZZZ2023-QA0060</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8"/>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172A27"/>
    <w:rsid w:val="0000124D"/>
    <w:rsid w:val="0000134D"/>
    <w:rsid w:val="00001635"/>
    <w:rsid w:val="000035D6"/>
    <w:rsid w:val="000036D6"/>
    <w:rsid w:val="00003921"/>
    <w:rsid w:val="000039AF"/>
    <w:rsid w:val="00003A46"/>
    <w:rsid w:val="000042A3"/>
    <w:rsid w:val="0000430B"/>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415"/>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0AA"/>
    <w:rsid w:val="0004315F"/>
    <w:rsid w:val="00043926"/>
    <w:rsid w:val="00043D2B"/>
    <w:rsid w:val="00043FC3"/>
    <w:rsid w:val="000447F6"/>
    <w:rsid w:val="000450E0"/>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475"/>
    <w:rsid w:val="0005650D"/>
    <w:rsid w:val="00056617"/>
    <w:rsid w:val="00057655"/>
    <w:rsid w:val="00060349"/>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0C"/>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1A"/>
    <w:rsid w:val="00085FFE"/>
    <w:rsid w:val="000866A3"/>
    <w:rsid w:val="000867FB"/>
    <w:rsid w:val="00086F62"/>
    <w:rsid w:val="000870F2"/>
    <w:rsid w:val="000871D6"/>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BB0"/>
    <w:rsid w:val="000C7685"/>
    <w:rsid w:val="000D0C86"/>
    <w:rsid w:val="000D0C91"/>
    <w:rsid w:val="000D11F6"/>
    <w:rsid w:val="000D1EAF"/>
    <w:rsid w:val="000D2056"/>
    <w:rsid w:val="000D2C8E"/>
    <w:rsid w:val="000D2CA8"/>
    <w:rsid w:val="000D2D97"/>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550"/>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2EFC"/>
    <w:rsid w:val="0011317D"/>
    <w:rsid w:val="001134EF"/>
    <w:rsid w:val="00113EE1"/>
    <w:rsid w:val="00114386"/>
    <w:rsid w:val="00114496"/>
    <w:rsid w:val="001148BD"/>
    <w:rsid w:val="001151A9"/>
    <w:rsid w:val="00115CCC"/>
    <w:rsid w:val="0011668B"/>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59F5"/>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3C5"/>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3DD9"/>
    <w:rsid w:val="001742DD"/>
    <w:rsid w:val="00174312"/>
    <w:rsid w:val="00175A5E"/>
    <w:rsid w:val="00175B46"/>
    <w:rsid w:val="00177212"/>
    <w:rsid w:val="001774D4"/>
    <w:rsid w:val="00177549"/>
    <w:rsid w:val="00177744"/>
    <w:rsid w:val="00177780"/>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5725"/>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7E49"/>
    <w:rsid w:val="001D012D"/>
    <w:rsid w:val="001D0702"/>
    <w:rsid w:val="001D0A25"/>
    <w:rsid w:val="001D1659"/>
    <w:rsid w:val="001D296C"/>
    <w:rsid w:val="001D2F3D"/>
    <w:rsid w:val="001D325B"/>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FA9"/>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069"/>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0"/>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4AE"/>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3F5"/>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848"/>
    <w:rsid w:val="00286DFC"/>
    <w:rsid w:val="00287102"/>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2603"/>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782"/>
    <w:rsid w:val="00305C1F"/>
    <w:rsid w:val="00305D1D"/>
    <w:rsid w:val="00306448"/>
    <w:rsid w:val="003066B4"/>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1B3"/>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235"/>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4D4"/>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593F"/>
    <w:rsid w:val="00376309"/>
    <w:rsid w:val="003773D2"/>
    <w:rsid w:val="0037794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0B62"/>
    <w:rsid w:val="00391591"/>
    <w:rsid w:val="00391BDF"/>
    <w:rsid w:val="00392CF1"/>
    <w:rsid w:val="00393028"/>
    <w:rsid w:val="0039313E"/>
    <w:rsid w:val="003934F9"/>
    <w:rsid w:val="00393CB5"/>
    <w:rsid w:val="003947A1"/>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2EFD"/>
    <w:rsid w:val="003B3713"/>
    <w:rsid w:val="003B3AA5"/>
    <w:rsid w:val="003B445F"/>
    <w:rsid w:val="003B495A"/>
    <w:rsid w:val="003B4982"/>
    <w:rsid w:val="003B4B46"/>
    <w:rsid w:val="003B5C4E"/>
    <w:rsid w:val="003B65AB"/>
    <w:rsid w:val="003B6CFD"/>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62D"/>
    <w:rsid w:val="003E69D8"/>
    <w:rsid w:val="003E6B1E"/>
    <w:rsid w:val="003E6EAB"/>
    <w:rsid w:val="003E722F"/>
    <w:rsid w:val="003E7E77"/>
    <w:rsid w:val="003F0CC4"/>
    <w:rsid w:val="003F179E"/>
    <w:rsid w:val="003F1823"/>
    <w:rsid w:val="003F1DDF"/>
    <w:rsid w:val="003F1F28"/>
    <w:rsid w:val="003F253B"/>
    <w:rsid w:val="003F3ED0"/>
    <w:rsid w:val="003F447B"/>
    <w:rsid w:val="003F48D0"/>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2C29"/>
    <w:rsid w:val="00423668"/>
    <w:rsid w:val="00423C36"/>
    <w:rsid w:val="004242E7"/>
    <w:rsid w:val="00424697"/>
    <w:rsid w:val="00424B8A"/>
    <w:rsid w:val="00424DD1"/>
    <w:rsid w:val="00425A62"/>
    <w:rsid w:val="00426433"/>
    <w:rsid w:val="00426B44"/>
    <w:rsid w:val="004274C8"/>
    <w:rsid w:val="004274CF"/>
    <w:rsid w:val="00427BF1"/>
    <w:rsid w:val="00430051"/>
    <w:rsid w:val="004303FE"/>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2EC"/>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6B9"/>
    <w:rsid w:val="00492CA8"/>
    <w:rsid w:val="00492E5C"/>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7C4"/>
    <w:rsid w:val="004A3D79"/>
    <w:rsid w:val="004A4862"/>
    <w:rsid w:val="004A4E10"/>
    <w:rsid w:val="004A565E"/>
    <w:rsid w:val="004A59A4"/>
    <w:rsid w:val="004A6E06"/>
    <w:rsid w:val="004A6E75"/>
    <w:rsid w:val="004A73C9"/>
    <w:rsid w:val="004A7475"/>
    <w:rsid w:val="004A7F95"/>
    <w:rsid w:val="004B261D"/>
    <w:rsid w:val="004B35DD"/>
    <w:rsid w:val="004B38D4"/>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290B"/>
    <w:rsid w:val="004E345A"/>
    <w:rsid w:val="004E3F06"/>
    <w:rsid w:val="004E4394"/>
    <w:rsid w:val="004E4C26"/>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37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88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6C42"/>
    <w:rsid w:val="0058774E"/>
    <w:rsid w:val="00587847"/>
    <w:rsid w:val="00587868"/>
    <w:rsid w:val="00587E0C"/>
    <w:rsid w:val="00591025"/>
    <w:rsid w:val="00591555"/>
    <w:rsid w:val="00592E85"/>
    <w:rsid w:val="00592F69"/>
    <w:rsid w:val="00593557"/>
    <w:rsid w:val="005935DB"/>
    <w:rsid w:val="0059385F"/>
    <w:rsid w:val="005946F1"/>
    <w:rsid w:val="005953FD"/>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A78"/>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1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6F31"/>
    <w:rsid w:val="00627AAB"/>
    <w:rsid w:val="00627B99"/>
    <w:rsid w:val="00627E79"/>
    <w:rsid w:val="006300C1"/>
    <w:rsid w:val="006304B1"/>
    <w:rsid w:val="00631533"/>
    <w:rsid w:val="00631EC7"/>
    <w:rsid w:val="0063209E"/>
    <w:rsid w:val="00633165"/>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0F6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97"/>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2A54"/>
    <w:rsid w:val="00683085"/>
    <w:rsid w:val="0068387C"/>
    <w:rsid w:val="00683942"/>
    <w:rsid w:val="00683ACE"/>
    <w:rsid w:val="00683E1A"/>
    <w:rsid w:val="0068574F"/>
    <w:rsid w:val="00686222"/>
    <w:rsid w:val="0068634C"/>
    <w:rsid w:val="00686C68"/>
    <w:rsid w:val="00686F04"/>
    <w:rsid w:val="00686F62"/>
    <w:rsid w:val="00687043"/>
    <w:rsid w:val="00690724"/>
    <w:rsid w:val="00690B64"/>
    <w:rsid w:val="00691F51"/>
    <w:rsid w:val="006922DF"/>
    <w:rsid w:val="00692328"/>
    <w:rsid w:val="0069241A"/>
    <w:rsid w:val="00693531"/>
    <w:rsid w:val="006935B9"/>
    <w:rsid w:val="00694848"/>
    <w:rsid w:val="00695224"/>
    <w:rsid w:val="00695257"/>
    <w:rsid w:val="006953B6"/>
    <w:rsid w:val="006959D4"/>
    <w:rsid w:val="00695AB8"/>
    <w:rsid w:val="00695AF5"/>
    <w:rsid w:val="00696290"/>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AD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1F63"/>
    <w:rsid w:val="00751FBC"/>
    <w:rsid w:val="007529FC"/>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131E"/>
    <w:rsid w:val="007645ED"/>
    <w:rsid w:val="00765002"/>
    <w:rsid w:val="0076501C"/>
    <w:rsid w:val="00766293"/>
    <w:rsid w:val="007675F7"/>
    <w:rsid w:val="00767D8F"/>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BCF"/>
    <w:rsid w:val="00782CE7"/>
    <w:rsid w:val="00782F5F"/>
    <w:rsid w:val="00784306"/>
    <w:rsid w:val="00784450"/>
    <w:rsid w:val="00784DDD"/>
    <w:rsid w:val="00785434"/>
    <w:rsid w:val="007854AB"/>
    <w:rsid w:val="00785789"/>
    <w:rsid w:val="007857B5"/>
    <w:rsid w:val="00785ECF"/>
    <w:rsid w:val="00785F9C"/>
    <w:rsid w:val="00786820"/>
    <w:rsid w:val="00786D03"/>
    <w:rsid w:val="007874E8"/>
    <w:rsid w:val="00787A4E"/>
    <w:rsid w:val="00787E46"/>
    <w:rsid w:val="00790714"/>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6B4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5983"/>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34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66CC"/>
    <w:rsid w:val="008275A6"/>
    <w:rsid w:val="00827773"/>
    <w:rsid w:val="00827B06"/>
    <w:rsid w:val="00827E2A"/>
    <w:rsid w:val="00830148"/>
    <w:rsid w:val="00830AF2"/>
    <w:rsid w:val="00830BFC"/>
    <w:rsid w:val="00830EAB"/>
    <w:rsid w:val="008310D2"/>
    <w:rsid w:val="00831F24"/>
    <w:rsid w:val="008320E3"/>
    <w:rsid w:val="00832458"/>
    <w:rsid w:val="00832601"/>
    <w:rsid w:val="00832DD9"/>
    <w:rsid w:val="00832EE1"/>
    <w:rsid w:val="00833A00"/>
    <w:rsid w:val="0083687A"/>
    <w:rsid w:val="0083775C"/>
    <w:rsid w:val="008400CE"/>
    <w:rsid w:val="00841487"/>
    <w:rsid w:val="008415DF"/>
    <w:rsid w:val="0084170D"/>
    <w:rsid w:val="00841AE6"/>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52B"/>
    <w:rsid w:val="008708C1"/>
    <w:rsid w:val="00870CEF"/>
    <w:rsid w:val="0087154B"/>
    <w:rsid w:val="00871579"/>
    <w:rsid w:val="00871B86"/>
    <w:rsid w:val="00872962"/>
    <w:rsid w:val="008729E8"/>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5A85"/>
    <w:rsid w:val="008C6D7A"/>
    <w:rsid w:val="008C7124"/>
    <w:rsid w:val="008C713E"/>
    <w:rsid w:val="008C76FE"/>
    <w:rsid w:val="008C7B9B"/>
    <w:rsid w:val="008D0D6B"/>
    <w:rsid w:val="008D0E73"/>
    <w:rsid w:val="008D0EAD"/>
    <w:rsid w:val="008D14B9"/>
    <w:rsid w:val="008D1648"/>
    <w:rsid w:val="008D2745"/>
    <w:rsid w:val="008D2A84"/>
    <w:rsid w:val="008D45C6"/>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134"/>
    <w:rsid w:val="008F04AE"/>
    <w:rsid w:val="008F0682"/>
    <w:rsid w:val="008F06E3"/>
    <w:rsid w:val="008F0D7F"/>
    <w:rsid w:val="008F247C"/>
    <w:rsid w:val="008F249A"/>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90F"/>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B6C"/>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6487"/>
    <w:rsid w:val="0097700C"/>
    <w:rsid w:val="009773D6"/>
    <w:rsid w:val="00977A8A"/>
    <w:rsid w:val="00977C0C"/>
    <w:rsid w:val="009808B3"/>
    <w:rsid w:val="009808F5"/>
    <w:rsid w:val="0098149C"/>
    <w:rsid w:val="00982626"/>
    <w:rsid w:val="00982DCA"/>
    <w:rsid w:val="00982E5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3D2F"/>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0643"/>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E70"/>
    <w:rsid w:val="009D7EC6"/>
    <w:rsid w:val="009E0313"/>
    <w:rsid w:val="009E1C84"/>
    <w:rsid w:val="009E1E04"/>
    <w:rsid w:val="009E1FF9"/>
    <w:rsid w:val="009E4179"/>
    <w:rsid w:val="009E447B"/>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C1C"/>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BE0"/>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87F"/>
    <w:rsid w:val="00A47C6D"/>
    <w:rsid w:val="00A5091A"/>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21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2E7"/>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AA"/>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B6C"/>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253"/>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3639"/>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264A"/>
    <w:rsid w:val="00B52DF6"/>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261C"/>
    <w:rsid w:val="00BA2DF6"/>
    <w:rsid w:val="00BA3212"/>
    <w:rsid w:val="00BA3B4B"/>
    <w:rsid w:val="00BA40BE"/>
    <w:rsid w:val="00BA467B"/>
    <w:rsid w:val="00BA4D41"/>
    <w:rsid w:val="00BA57F5"/>
    <w:rsid w:val="00BA58BB"/>
    <w:rsid w:val="00BA67FC"/>
    <w:rsid w:val="00BA6B8E"/>
    <w:rsid w:val="00BA6C85"/>
    <w:rsid w:val="00BA70FF"/>
    <w:rsid w:val="00BA711E"/>
    <w:rsid w:val="00BA7285"/>
    <w:rsid w:val="00BA7BE8"/>
    <w:rsid w:val="00BB08F7"/>
    <w:rsid w:val="00BB0BA7"/>
    <w:rsid w:val="00BB0CA1"/>
    <w:rsid w:val="00BB133D"/>
    <w:rsid w:val="00BB1924"/>
    <w:rsid w:val="00BB2616"/>
    <w:rsid w:val="00BB26EB"/>
    <w:rsid w:val="00BB2C15"/>
    <w:rsid w:val="00BB37AA"/>
    <w:rsid w:val="00BB3C8A"/>
    <w:rsid w:val="00BB4049"/>
    <w:rsid w:val="00BB5150"/>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E2"/>
    <w:rsid w:val="00BC3E3B"/>
    <w:rsid w:val="00BC52DE"/>
    <w:rsid w:val="00BC69C6"/>
    <w:rsid w:val="00BC6BFD"/>
    <w:rsid w:val="00BC7956"/>
    <w:rsid w:val="00BD0288"/>
    <w:rsid w:val="00BD02E6"/>
    <w:rsid w:val="00BD065D"/>
    <w:rsid w:val="00BD0B23"/>
    <w:rsid w:val="00BD0CF8"/>
    <w:rsid w:val="00BD0DDA"/>
    <w:rsid w:val="00BD0F7B"/>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5BA"/>
    <w:rsid w:val="00BF58F2"/>
    <w:rsid w:val="00BF590D"/>
    <w:rsid w:val="00BF63BD"/>
    <w:rsid w:val="00BF6637"/>
    <w:rsid w:val="00BF756C"/>
    <w:rsid w:val="00BF7870"/>
    <w:rsid w:val="00BF794A"/>
    <w:rsid w:val="00BF7E92"/>
    <w:rsid w:val="00C00D9E"/>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6C9"/>
    <w:rsid w:val="00C21801"/>
    <w:rsid w:val="00C2304D"/>
    <w:rsid w:val="00C236EB"/>
    <w:rsid w:val="00C23BE9"/>
    <w:rsid w:val="00C24016"/>
    <w:rsid w:val="00C24904"/>
    <w:rsid w:val="00C2541E"/>
    <w:rsid w:val="00C25F86"/>
    <w:rsid w:val="00C2649C"/>
    <w:rsid w:val="00C26623"/>
    <w:rsid w:val="00C26685"/>
    <w:rsid w:val="00C268C0"/>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8A2"/>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2DE"/>
    <w:rsid w:val="00C73FAB"/>
    <w:rsid w:val="00C747DA"/>
    <w:rsid w:val="00C74CF6"/>
    <w:rsid w:val="00C75062"/>
    <w:rsid w:val="00C75A01"/>
    <w:rsid w:val="00C75BCA"/>
    <w:rsid w:val="00C75C66"/>
    <w:rsid w:val="00C75DB6"/>
    <w:rsid w:val="00C76E04"/>
    <w:rsid w:val="00C76FB0"/>
    <w:rsid w:val="00C81278"/>
    <w:rsid w:val="00C81A2C"/>
    <w:rsid w:val="00C81E27"/>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3860"/>
    <w:rsid w:val="00CC597B"/>
    <w:rsid w:val="00CC5AA0"/>
    <w:rsid w:val="00CC669A"/>
    <w:rsid w:val="00CC75B6"/>
    <w:rsid w:val="00CC779B"/>
    <w:rsid w:val="00CD0261"/>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49F"/>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03B"/>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09"/>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2DF"/>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B80"/>
    <w:rsid w:val="00D64E9D"/>
    <w:rsid w:val="00D65A11"/>
    <w:rsid w:val="00D65B91"/>
    <w:rsid w:val="00D662C7"/>
    <w:rsid w:val="00D6688A"/>
    <w:rsid w:val="00D66CD5"/>
    <w:rsid w:val="00D67145"/>
    <w:rsid w:val="00D7057C"/>
    <w:rsid w:val="00D70FF2"/>
    <w:rsid w:val="00D7160F"/>
    <w:rsid w:val="00D7197E"/>
    <w:rsid w:val="00D71DAC"/>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87AC4"/>
    <w:rsid w:val="00D901F7"/>
    <w:rsid w:val="00D90311"/>
    <w:rsid w:val="00D907DF"/>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A0A"/>
    <w:rsid w:val="00D97CEB"/>
    <w:rsid w:val="00DA0A11"/>
    <w:rsid w:val="00DA0AF3"/>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5B7"/>
    <w:rsid w:val="00DC1EC8"/>
    <w:rsid w:val="00DC2E18"/>
    <w:rsid w:val="00DC2FA0"/>
    <w:rsid w:val="00DC30FE"/>
    <w:rsid w:val="00DC3512"/>
    <w:rsid w:val="00DC385E"/>
    <w:rsid w:val="00DC3C05"/>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5CC8"/>
    <w:rsid w:val="00DE6805"/>
    <w:rsid w:val="00DE7807"/>
    <w:rsid w:val="00DE7C25"/>
    <w:rsid w:val="00DF0D0A"/>
    <w:rsid w:val="00DF1211"/>
    <w:rsid w:val="00DF1385"/>
    <w:rsid w:val="00DF1FB9"/>
    <w:rsid w:val="00DF2469"/>
    <w:rsid w:val="00DF2EB3"/>
    <w:rsid w:val="00DF316E"/>
    <w:rsid w:val="00DF3626"/>
    <w:rsid w:val="00DF3B10"/>
    <w:rsid w:val="00DF3FC2"/>
    <w:rsid w:val="00DF58E5"/>
    <w:rsid w:val="00DF7634"/>
    <w:rsid w:val="00DF79E1"/>
    <w:rsid w:val="00E000D0"/>
    <w:rsid w:val="00E00F2E"/>
    <w:rsid w:val="00E01525"/>
    <w:rsid w:val="00E0160E"/>
    <w:rsid w:val="00E0186E"/>
    <w:rsid w:val="00E01D83"/>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7C6"/>
    <w:rsid w:val="00E1784D"/>
    <w:rsid w:val="00E20A95"/>
    <w:rsid w:val="00E20E02"/>
    <w:rsid w:val="00E21806"/>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5A6"/>
    <w:rsid w:val="00E71B32"/>
    <w:rsid w:val="00E72079"/>
    <w:rsid w:val="00E72E8F"/>
    <w:rsid w:val="00E72F98"/>
    <w:rsid w:val="00E736AA"/>
    <w:rsid w:val="00E7391F"/>
    <w:rsid w:val="00E745BB"/>
    <w:rsid w:val="00E748D7"/>
    <w:rsid w:val="00E75BEC"/>
    <w:rsid w:val="00E7632F"/>
    <w:rsid w:val="00E767E3"/>
    <w:rsid w:val="00E777A5"/>
    <w:rsid w:val="00E77BF3"/>
    <w:rsid w:val="00E77E32"/>
    <w:rsid w:val="00E800B4"/>
    <w:rsid w:val="00E809C8"/>
    <w:rsid w:val="00E80EE9"/>
    <w:rsid w:val="00E8173D"/>
    <w:rsid w:val="00E81907"/>
    <w:rsid w:val="00E81B11"/>
    <w:rsid w:val="00E825D5"/>
    <w:rsid w:val="00E82D76"/>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0BA"/>
    <w:rsid w:val="00EB051D"/>
    <w:rsid w:val="00EB1072"/>
    <w:rsid w:val="00EB1A14"/>
    <w:rsid w:val="00EB1A97"/>
    <w:rsid w:val="00EB1DDC"/>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083"/>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822"/>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653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5F5F"/>
    <w:rsid w:val="00F45F88"/>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44E3"/>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A66"/>
    <w:rsid w:val="00FB5B30"/>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E7EBD"/>
    <w:rsid w:val="00FF3DBD"/>
    <w:rsid w:val="00FF4204"/>
    <w:rsid w:val="00FF4314"/>
    <w:rsid w:val="00FF456E"/>
    <w:rsid w:val="00FF4A19"/>
    <w:rsid w:val="00FF4CE2"/>
    <w:rsid w:val="00FF520E"/>
    <w:rsid w:val="00FF70F3"/>
    <w:rsid w:val="00FF7533"/>
    <w:rsid w:val="00FF7BA6"/>
    <w:rsid w:val="00FF7C38"/>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1FB37FD"/>
    <w:rsid w:val="120027E5"/>
    <w:rsid w:val="120474A0"/>
    <w:rsid w:val="13102ABE"/>
    <w:rsid w:val="166D0F98"/>
    <w:rsid w:val="167D280D"/>
    <w:rsid w:val="17047766"/>
    <w:rsid w:val="17935895"/>
    <w:rsid w:val="17F52C18"/>
    <w:rsid w:val="184530EF"/>
    <w:rsid w:val="19227A4B"/>
    <w:rsid w:val="1B3E182A"/>
    <w:rsid w:val="1B4B5195"/>
    <w:rsid w:val="1BA16332"/>
    <w:rsid w:val="1C174C6F"/>
    <w:rsid w:val="1C3D0A3D"/>
    <w:rsid w:val="1C7C020D"/>
    <w:rsid w:val="1C8F78BA"/>
    <w:rsid w:val="1C9B0D84"/>
    <w:rsid w:val="1CDD3F3B"/>
    <w:rsid w:val="1D4D6869"/>
    <w:rsid w:val="20BC05DE"/>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135406"/>
    <w:rsid w:val="336E087E"/>
    <w:rsid w:val="33C3087D"/>
    <w:rsid w:val="35961B12"/>
    <w:rsid w:val="364523AD"/>
    <w:rsid w:val="36700D38"/>
    <w:rsid w:val="36C4673D"/>
    <w:rsid w:val="37B10B63"/>
    <w:rsid w:val="37D17C49"/>
    <w:rsid w:val="390721D7"/>
    <w:rsid w:val="393B510C"/>
    <w:rsid w:val="393F4767"/>
    <w:rsid w:val="39A97E97"/>
    <w:rsid w:val="3A260C29"/>
    <w:rsid w:val="3A601AE3"/>
    <w:rsid w:val="3B57268D"/>
    <w:rsid w:val="3B6176CE"/>
    <w:rsid w:val="3BF9504C"/>
    <w:rsid w:val="3CF11603"/>
    <w:rsid w:val="3D7507FB"/>
    <w:rsid w:val="3EB5127A"/>
    <w:rsid w:val="3F503E5E"/>
    <w:rsid w:val="3FC16214"/>
    <w:rsid w:val="41576FF8"/>
    <w:rsid w:val="41D9164E"/>
    <w:rsid w:val="41DD521D"/>
    <w:rsid w:val="423B7022"/>
    <w:rsid w:val="426D234C"/>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6243A1"/>
    <w:rsid w:val="55C87B3E"/>
    <w:rsid w:val="58D67D8C"/>
    <w:rsid w:val="58E10577"/>
    <w:rsid w:val="59165EF7"/>
    <w:rsid w:val="59702A12"/>
    <w:rsid w:val="5AED2A9C"/>
    <w:rsid w:val="5BC746C9"/>
    <w:rsid w:val="5CC61F72"/>
    <w:rsid w:val="5CF206F7"/>
    <w:rsid w:val="5EA0340D"/>
    <w:rsid w:val="5ED66C3C"/>
    <w:rsid w:val="5FDD643B"/>
    <w:rsid w:val="60BA3E42"/>
    <w:rsid w:val="6194383B"/>
    <w:rsid w:val="61A14A39"/>
    <w:rsid w:val="61CB5375"/>
    <w:rsid w:val="623348CA"/>
    <w:rsid w:val="62D67671"/>
    <w:rsid w:val="63873F66"/>
    <w:rsid w:val="65CA685B"/>
    <w:rsid w:val="65CF34A7"/>
    <w:rsid w:val="65D01803"/>
    <w:rsid w:val="65F660EF"/>
    <w:rsid w:val="6673798C"/>
    <w:rsid w:val="673905B6"/>
    <w:rsid w:val="681C3942"/>
    <w:rsid w:val="68460AAC"/>
    <w:rsid w:val="68AC1CFE"/>
    <w:rsid w:val="6973750A"/>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1"/>
    <w:qFormat/>
    <w:uiPriority w:val="0"/>
    <w:pPr>
      <w:spacing w:before="460" w:after="450" w:line="360" w:lineRule="auto"/>
      <w:jc w:val="center"/>
      <w:outlineLvl w:val="0"/>
    </w:pPr>
    <w:rPr>
      <w:rFonts w:eastAsiaTheme="minorEastAsia"/>
      <w:bCs w:val="0"/>
      <w:kern w:val="44"/>
      <w:sz w:val="44"/>
      <w:szCs w:val="28"/>
    </w:rPr>
  </w:style>
  <w:style w:type="paragraph" w:styleId="5">
    <w:name w:val="heading 2"/>
    <w:basedOn w:val="1"/>
    <w:next w:val="1"/>
    <w:link w:val="62"/>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60"/>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5"/>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6"/>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7"/>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8"/>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9"/>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2"/>
    <w:qFormat/>
    <w:uiPriority w:val="0"/>
    <w:pPr>
      <w:spacing w:after="120"/>
    </w:pPr>
  </w:style>
  <w:style w:type="paragraph" w:styleId="8">
    <w:name w:val="Normal Indent"/>
    <w:basedOn w:val="1"/>
    <w:link w:val="64"/>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8"/>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4"/>
    <w:qFormat/>
    <w:uiPriority w:val="0"/>
    <w:pPr>
      <w:shd w:val="clear" w:color="auto" w:fill="000080"/>
    </w:pPr>
  </w:style>
  <w:style w:type="paragraph" w:styleId="19">
    <w:name w:val="annotation text"/>
    <w:basedOn w:val="1"/>
    <w:link w:val="70"/>
    <w:qFormat/>
    <w:uiPriority w:val="0"/>
    <w:pPr>
      <w:jc w:val="left"/>
    </w:pPr>
  </w:style>
  <w:style w:type="paragraph" w:styleId="20">
    <w:name w:val="Body Text 3"/>
    <w:basedOn w:val="1"/>
    <w:link w:val="459"/>
    <w:unhideWhenUsed/>
    <w:qFormat/>
    <w:uiPriority w:val="0"/>
    <w:pPr>
      <w:spacing w:after="120"/>
    </w:pPr>
    <w:rPr>
      <w:sz w:val="16"/>
      <w:szCs w:val="16"/>
    </w:rPr>
  </w:style>
  <w:style w:type="paragraph" w:styleId="21">
    <w:name w:val="Body Text Indent"/>
    <w:basedOn w:val="1"/>
    <w:link w:val="75"/>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6"/>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7"/>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7"/>
    <w:qFormat/>
    <w:uiPriority w:val="0"/>
    <w:pPr>
      <w:spacing w:after="120" w:line="480" w:lineRule="auto"/>
      <w:ind w:left="420" w:leftChars="200"/>
    </w:pPr>
  </w:style>
  <w:style w:type="paragraph" w:styleId="30">
    <w:name w:val="Balloon Text"/>
    <w:basedOn w:val="1"/>
    <w:link w:val="78"/>
    <w:qFormat/>
    <w:uiPriority w:val="0"/>
    <w:rPr>
      <w:sz w:val="18"/>
      <w:szCs w:val="18"/>
    </w:rPr>
  </w:style>
  <w:style w:type="paragraph" w:styleId="31">
    <w:name w:val="footer"/>
    <w:basedOn w:val="1"/>
    <w:link w:val="79"/>
    <w:qFormat/>
    <w:uiPriority w:val="99"/>
    <w:pPr>
      <w:tabs>
        <w:tab w:val="center" w:pos="4153"/>
        <w:tab w:val="right" w:pos="8306"/>
      </w:tabs>
      <w:snapToGrid w:val="0"/>
      <w:jc w:val="left"/>
    </w:pPr>
    <w:rPr>
      <w:sz w:val="18"/>
      <w:szCs w:val="18"/>
    </w:rPr>
  </w:style>
  <w:style w:type="paragraph" w:styleId="32">
    <w:name w:val="header"/>
    <w:basedOn w:val="1"/>
    <w:link w:val="80"/>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8"/>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4"/>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4"/>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7"/>
    <w:qFormat/>
    <w:uiPriority w:val="0"/>
    <w:rPr>
      <w:sz w:val="28"/>
      <w:szCs w:val="20"/>
    </w:rPr>
  </w:style>
  <w:style w:type="paragraph" w:styleId="44">
    <w:name w:val="HTML Preformatted"/>
    <w:basedOn w:val="1"/>
    <w:link w:val="8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2"/>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1"/>
    <w:qFormat/>
    <w:uiPriority w:val="0"/>
    <w:rPr>
      <w:b/>
      <w:bCs/>
    </w:rPr>
  </w:style>
  <w:style w:type="paragraph" w:styleId="48">
    <w:name w:val="Body Text First Indent"/>
    <w:basedOn w:val="2"/>
    <w:link w:val="73"/>
    <w:qFormat/>
    <w:uiPriority w:val="0"/>
    <w:pPr>
      <w:ind w:firstLine="420" w:firstLineChars="100"/>
    </w:pPr>
  </w:style>
  <w:style w:type="paragraph" w:styleId="49">
    <w:name w:val="Body Text First Indent 2"/>
    <w:basedOn w:val="21"/>
    <w:link w:val="293"/>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paragraph" w:customStyle="1" w:styleId="59">
    <w:name w:val="表格文字"/>
    <w:basedOn w:val="1"/>
    <w:qFormat/>
    <w:uiPriority w:val="0"/>
    <w:pPr>
      <w:spacing w:before="25" w:after="25"/>
      <w:jc w:val="left"/>
    </w:pPr>
    <w:rPr>
      <w:bCs/>
      <w:spacing w:val="10"/>
      <w:kern w:val="0"/>
      <w:sz w:val="24"/>
    </w:rPr>
  </w:style>
  <w:style w:type="character" w:customStyle="1" w:styleId="60">
    <w:name w:val="标题 3 Char"/>
    <w:basedOn w:val="52"/>
    <w:link w:val="4"/>
    <w:qFormat/>
    <w:uiPriority w:val="0"/>
    <w:rPr>
      <w:b/>
      <w:bCs/>
      <w:kern w:val="2"/>
      <w:sz w:val="24"/>
      <w:szCs w:val="32"/>
    </w:rPr>
  </w:style>
  <w:style w:type="character" w:customStyle="1" w:styleId="61">
    <w:name w:val="标题 1 Char"/>
    <w:basedOn w:val="52"/>
    <w:link w:val="3"/>
    <w:qFormat/>
    <w:uiPriority w:val="0"/>
    <w:rPr>
      <w:rFonts w:eastAsiaTheme="minorEastAsia"/>
      <w:b/>
      <w:kern w:val="44"/>
      <w:sz w:val="44"/>
      <w:szCs w:val="28"/>
    </w:rPr>
  </w:style>
  <w:style w:type="character" w:customStyle="1" w:styleId="62">
    <w:name w:val="标题 2 Char"/>
    <w:basedOn w:val="52"/>
    <w:link w:val="5"/>
    <w:qFormat/>
    <w:uiPriority w:val="0"/>
    <w:rPr>
      <w:rFonts w:ascii="Arial" w:hAnsi="Arial" w:eastAsiaTheme="minorEastAsia"/>
      <w:b/>
      <w:bCs/>
      <w:kern w:val="2"/>
      <w:sz w:val="28"/>
      <w:szCs w:val="32"/>
    </w:rPr>
  </w:style>
  <w:style w:type="character" w:customStyle="1" w:styleId="63">
    <w:name w:val="标题 4 Char1"/>
    <w:basedOn w:val="52"/>
    <w:link w:val="6"/>
    <w:qFormat/>
    <w:uiPriority w:val="99"/>
    <w:rPr>
      <w:rFonts w:ascii="Arial" w:hAnsi="Arial" w:eastAsia="黑体"/>
      <w:b/>
      <w:bCs/>
      <w:kern w:val="2"/>
      <w:sz w:val="28"/>
      <w:szCs w:val="28"/>
    </w:rPr>
  </w:style>
  <w:style w:type="character" w:customStyle="1" w:styleId="64">
    <w:name w:val="正文缩进 Char"/>
    <w:link w:val="8"/>
    <w:qFormat/>
    <w:uiPriority w:val="0"/>
    <w:rPr>
      <w:rFonts w:eastAsia="宋体"/>
      <w:kern w:val="2"/>
      <w:sz w:val="21"/>
      <w:szCs w:val="24"/>
      <w:lang w:val="en-US" w:eastAsia="zh-CN" w:bidi="ar-SA"/>
    </w:rPr>
  </w:style>
  <w:style w:type="character" w:customStyle="1" w:styleId="65">
    <w:name w:val="标题 5 Char1"/>
    <w:basedOn w:val="52"/>
    <w:link w:val="7"/>
    <w:qFormat/>
    <w:uiPriority w:val="0"/>
    <w:rPr>
      <w:b/>
      <w:kern w:val="2"/>
      <w:sz w:val="28"/>
      <w:szCs w:val="24"/>
    </w:rPr>
  </w:style>
  <w:style w:type="character" w:customStyle="1" w:styleId="66">
    <w:name w:val="标题 6 Char1"/>
    <w:basedOn w:val="52"/>
    <w:link w:val="9"/>
    <w:qFormat/>
    <w:uiPriority w:val="9"/>
    <w:rPr>
      <w:rFonts w:ascii="Arial" w:hAnsi="Arial" w:eastAsia="黑体"/>
      <w:b/>
      <w:kern w:val="2"/>
      <w:sz w:val="24"/>
      <w:szCs w:val="24"/>
    </w:rPr>
  </w:style>
  <w:style w:type="character" w:customStyle="1" w:styleId="67">
    <w:name w:val="标题 7 Char1"/>
    <w:basedOn w:val="52"/>
    <w:link w:val="10"/>
    <w:qFormat/>
    <w:uiPriority w:val="9"/>
    <w:rPr>
      <w:b/>
      <w:kern w:val="2"/>
      <w:sz w:val="24"/>
      <w:szCs w:val="24"/>
    </w:rPr>
  </w:style>
  <w:style w:type="character" w:customStyle="1" w:styleId="68">
    <w:name w:val="标题 8 Char1"/>
    <w:basedOn w:val="52"/>
    <w:link w:val="11"/>
    <w:qFormat/>
    <w:uiPriority w:val="9"/>
    <w:rPr>
      <w:rFonts w:ascii="Arial" w:hAnsi="Arial" w:eastAsia="黑体"/>
      <w:kern w:val="2"/>
      <w:sz w:val="24"/>
      <w:szCs w:val="24"/>
    </w:rPr>
  </w:style>
  <w:style w:type="character" w:customStyle="1" w:styleId="69">
    <w:name w:val="标题 9 Char1"/>
    <w:basedOn w:val="52"/>
    <w:link w:val="12"/>
    <w:qFormat/>
    <w:uiPriority w:val="0"/>
    <w:rPr>
      <w:rFonts w:ascii="Arial" w:hAnsi="Arial" w:eastAsia="黑体"/>
      <w:kern w:val="2"/>
      <w:sz w:val="21"/>
      <w:szCs w:val="24"/>
    </w:rPr>
  </w:style>
  <w:style w:type="character" w:customStyle="1" w:styleId="70">
    <w:name w:val="批注文字 Char"/>
    <w:link w:val="19"/>
    <w:qFormat/>
    <w:uiPriority w:val="0"/>
    <w:rPr>
      <w:kern w:val="2"/>
      <w:sz w:val="21"/>
      <w:szCs w:val="24"/>
    </w:rPr>
  </w:style>
  <w:style w:type="character" w:customStyle="1" w:styleId="71">
    <w:name w:val="批注主题 Char"/>
    <w:basedOn w:val="70"/>
    <w:link w:val="47"/>
    <w:qFormat/>
    <w:uiPriority w:val="0"/>
    <w:rPr>
      <w:b/>
      <w:bCs/>
      <w:kern w:val="2"/>
      <w:sz w:val="21"/>
      <w:szCs w:val="24"/>
    </w:rPr>
  </w:style>
  <w:style w:type="character" w:customStyle="1" w:styleId="72">
    <w:name w:val="正文文本 Char"/>
    <w:basedOn w:val="52"/>
    <w:link w:val="2"/>
    <w:qFormat/>
    <w:uiPriority w:val="0"/>
    <w:rPr>
      <w:kern w:val="2"/>
      <w:sz w:val="21"/>
      <w:szCs w:val="24"/>
    </w:rPr>
  </w:style>
  <w:style w:type="character" w:customStyle="1" w:styleId="73">
    <w:name w:val="正文首行缩进 Char"/>
    <w:link w:val="48"/>
    <w:qFormat/>
    <w:uiPriority w:val="0"/>
    <w:rPr>
      <w:rFonts w:eastAsia="宋体"/>
      <w:kern w:val="2"/>
      <w:sz w:val="21"/>
      <w:szCs w:val="24"/>
      <w:lang w:val="en-US" w:eastAsia="zh-CN" w:bidi="ar-SA"/>
    </w:rPr>
  </w:style>
  <w:style w:type="character" w:customStyle="1" w:styleId="74">
    <w:name w:val="文档结构图 Char"/>
    <w:basedOn w:val="52"/>
    <w:link w:val="18"/>
    <w:qFormat/>
    <w:uiPriority w:val="0"/>
    <w:rPr>
      <w:kern w:val="2"/>
      <w:sz w:val="21"/>
      <w:szCs w:val="24"/>
      <w:shd w:val="clear" w:color="auto" w:fill="000080"/>
    </w:rPr>
  </w:style>
  <w:style w:type="character" w:customStyle="1" w:styleId="75">
    <w:name w:val="正文文本缩进 Char1"/>
    <w:basedOn w:val="52"/>
    <w:link w:val="21"/>
    <w:qFormat/>
    <w:uiPriority w:val="0"/>
    <w:rPr>
      <w:kern w:val="2"/>
      <w:sz w:val="21"/>
      <w:szCs w:val="24"/>
    </w:rPr>
  </w:style>
  <w:style w:type="character" w:customStyle="1" w:styleId="76">
    <w:name w:val="纯文本 Char"/>
    <w:link w:val="26"/>
    <w:qFormat/>
    <w:uiPriority w:val="0"/>
    <w:rPr>
      <w:rFonts w:ascii="宋体" w:hAnsi="Courier New" w:eastAsia="宋体"/>
      <w:kern w:val="2"/>
      <w:sz w:val="21"/>
      <w:lang w:val="en-US" w:eastAsia="zh-CN" w:bidi="ar-SA"/>
    </w:rPr>
  </w:style>
  <w:style w:type="character" w:customStyle="1" w:styleId="77">
    <w:name w:val="正文文本缩进 2 Char1"/>
    <w:link w:val="29"/>
    <w:qFormat/>
    <w:uiPriority w:val="0"/>
    <w:rPr>
      <w:kern w:val="2"/>
      <w:sz w:val="21"/>
      <w:szCs w:val="24"/>
    </w:rPr>
  </w:style>
  <w:style w:type="character" w:customStyle="1" w:styleId="78">
    <w:name w:val="批注框文本 Char"/>
    <w:basedOn w:val="52"/>
    <w:link w:val="30"/>
    <w:qFormat/>
    <w:uiPriority w:val="99"/>
    <w:rPr>
      <w:kern w:val="2"/>
      <w:sz w:val="18"/>
      <w:szCs w:val="18"/>
    </w:rPr>
  </w:style>
  <w:style w:type="character" w:customStyle="1" w:styleId="79">
    <w:name w:val="页脚 Char"/>
    <w:basedOn w:val="52"/>
    <w:link w:val="31"/>
    <w:qFormat/>
    <w:uiPriority w:val="99"/>
    <w:rPr>
      <w:kern w:val="2"/>
      <w:sz w:val="18"/>
      <w:szCs w:val="18"/>
    </w:rPr>
  </w:style>
  <w:style w:type="character" w:customStyle="1" w:styleId="80">
    <w:name w:val="页眉 Char"/>
    <w:link w:val="32"/>
    <w:qFormat/>
    <w:uiPriority w:val="99"/>
    <w:rPr>
      <w:kern w:val="2"/>
      <w:sz w:val="18"/>
      <w:szCs w:val="18"/>
    </w:rPr>
  </w:style>
  <w:style w:type="character" w:customStyle="1" w:styleId="81">
    <w:name w:val="HTML 预设格式 Char1"/>
    <w:link w:val="44"/>
    <w:qFormat/>
    <w:uiPriority w:val="0"/>
    <w:rPr>
      <w:rFonts w:ascii="宋体" w:hAnsi="宋体" w:cs="宋体"/>
      <w:sz w:val="24"/>
      <w:szCs w:val="24"/>
    </w:rPr>
  </w:style>
  <w:style w:type="character" w:customStyle="1" w:styleId="82">
    <w:name w:val="标题 Char"/>
    <w:link w:val="46"/>
    <w:qFormat/>
    <w:uiPriority w:val="0"/>
    <w:rPr>
      <w:rFonts w:ascii="Arial" w:hAnsi="Arial" w:eastAsia="隶书" w:cs="Arial"/>
      <w:b/>
      <w:bCs/>
      <w:kern w:val="2"/>
      <w:sz w:val="32"/>
      <w:szCs w:val="32"/>
    </w:rPr>
  </w:style>
  <w:style w:type="paragraph" w:customStyle="1" w:styleId="8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样式1 Char Char"/>
    <w:basedOn w:val="1"/>
    <w:next w:val="1"/>
    <w:link w:val="85"/>
    <w:qFormat/>
    <w:uiPriority w:val="0"/>
    <w:pPr>
      <w:spacing w:line="360" w:lineRule="auto"/>
      <w:ind w:firstLine="516" w:firstLineChars="215"/>
    </w:pPr>
    <w:rPr>
      <w:sz w:val="24"/>
      <w:szCs w:val="20"/>
    </w:rPr>
  </w:style>
  <w:style w:type="character" w:customStyle="1" w:styleId="85">
    <w:name w:val="样式1 Char Char Char"/>
    <w:link w:val="84"/>
    <w:qFormat/>
    <w:uiPriority w:val="0"/>
    <w:rPr>
      <w:rFonts w:eastAsia="宋体"/>
      <w:kern w:val="2"/>
      <w:sz w:val="24"/>
      <w:lang w:val="en-US" w:eastAsia="zh-CN" w:bidi="ar-SA"/>
    </w:rPr>
  </w:style>
  <w:style w:type="paragraph" w:customStyle="1" w:styleId="86">
    <w:name w:val="样式1"/>
    <w:basedOn w:val="46"/>
    <w:link w:val="87"/>
    <w:qFormat/>
    <w:uiPriority w:val="0"/>
    <w:pPr>
      <w:spacing w:before="120" w:after="120"/>
    </w:pPr>
    <w:rPr>
      <w:rFonts w:eastAsia="黑体" w:cs="Arial"/>
      <w:b w:val="0"/>
      <w:sz w:val="30"/>
      <w:szCs w:val="21"/>
    </w:rPr>
  </w:style>
  <w:style w:type="character" w:customStyle="1" w:styleId="87">
    <w:name w:val="样式1 Char"/>
    <w:link w:val="86"/>
    <w:qFormat/>
    <w:uiPriority w:val="0"/>
    <w:rPr>
      <w:rFonts w:ascii="Arial" w:hAnsi="Arial" w:eastAsia="黑体" w:cs="Arial"/>
      <w:bCs/>
      <w:kern w:val="2"/>
      <w:sz w:val="30"/>
      <w:szCs w:val="21"/>
      <w:lang w:val="en-US" w:eastAsia="zh-CN" w:bidi="ar-SA"/>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1">
    <w:name w:val="Char1"/>
    <w:basedOn w:val="1"/>
    <w:qFormat/>
    <w:uiPriority w:val="0"/>
    <w:rPr>
      <w:rFonts w:ascii="仿宋_GB2312" w:eastAsia="仿宋_GB2312"/>
      <w:b/>
      <w:sz w:val="32"/>
      <w:szCs w:val="32"/>
    </w:rPr>
  </w:style>
  <w:style w:type="character" w:customStyle="1" w:styleId="92">
    <w:name w:val="tpc_title1"/>
    <w:qFormat/>
    <w:uiPriority w:val="0"/>
    <w:rPr>
      <w:b/>
      <w:bCs/>
      <w:sz w:val="18"/>
      <w:szCs w:val="18"/>
    </w:rPr>
  </w:style>
  <w:style w:type="character" w:customStyle="1" w:styleId="93">
    <w:name w:val="tpc_content1"/>
    <w:qFormat/>
    <w:uiPriority w:val="0"/>
    <w:rPr>
      <w:sz w:val="20"/>
      <w:szCs w:val="20"/>
    </w:rPr>
  </w:style>
  <w:style w:type="paragraph" w:customStyle="1" w:styleId="9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5">
    <w:name w:val="列出段落1"/>
    <w:basedOn w:val="1"/>
    <w:link w:val="96"/>
    <w:qFormat/>
    <w:uiPriority w:val="0"/>
    <w:pPr>
      <w:ind w:firstLine="420" w:firstLineChars="200"/>
    </w:pPr>
  </w:style>
  <w:style w:type="character" w:customStyle="1" w:styleId="96">
    <w:name w:val="列表段落 字符"/>
    <w:link w:val="95"/>
    <w:qFormat/>
    <w:uiPriority w:val="0"/>
    <w:rPr>
      <w:kern w:val="2"/>
      <w:sz w:val="21"/>
      <w:szCs w:val="24"/>
    </w:rPr>
  </w:style>
  <w:style w:type="paragraph" w:customStyle="1" w:styleId="97">
    <w:name w:val="正文1"/>
    <w:basedOn w:val="1"/>
    <w:qFormat/>
    <w:uiPriority w:val="0"/>
    <w:pPr>
      <w:tabs>
        <w:tab w:val="left" w:pos="4"/>
      </w:tabs>
      <w:spacing w:line="360" w:lineRule="auto"/>
      <w:ind w:left="-2" w:firstLine="482"/>
    </w:pPr>
    <w:rPr>
      <w:rFonts w:ascii="宋体" w:hAnsi="宋体"/>
      <w:sz w:val="24"/>
    </w:rPr>
  </w:style>
  <w:style w:type="paragraph" w:customStyle="1" w:styleId="98">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9">
    <w:name w:val="缩进正文"/>
    <w:basedOn w:val="1"/>
    <w:link w:val="100"/>
    <w:qFormat/>
    <w:uiPriority w:val="0"/>
    <w:pPr>
      <w:ind w:firstLine="560" w:firstLineChars="200"/>
    </w:pPr>
    <w:rPr>
      <w:rFonts w:eastAsia="仿宋_GB2312" w:cs="宋体"/>
      <w:sz w:val="28"/>
      <w:szCs w:val="20"/>
    </w:rPr>
  </w:style>
  <w:style w:type="character" w:customStyle="1" w:styleId="100">
    <w:name w:val="缩进正文 Char"/>
    <w:link w:val="99"/>
    <w:qFormat/>
    <w:uiPriority w:val="0"/>
    <w:rPr>
      <w:rFonts w:eastAsia="仿宋_GB2312" w:cs="宋体"/>
      <w:kern w:val="2"/>
      <w:sz w:val="28"/>
      <w:lang w:val="en-US" w:eastAsia="zh-CN" w:bidi="ar-SA"/>
    </w:rPr>
  </w:style>
  <w:style w:type="character" w:customStyle="1" w:styleId="101">
    <w:name w:val="访问过的超链接1"/>
    <w:qFormat/>
    <w:uiPriority w:val="0"/>
    <w:rPr>
      <w:color w:val="800080"/>
      <w:u w:val="single"/>
    </w:rPr>
  </w:style>
  <w:style w:type="paragraph" w:customStyle="1" w:styleId="102">
    <w:name w:val="Char Char Char Char Char Char Char"/>
    <w:basedOn w:val="1"/>
    <w:qFormat/>
    <w:uiPriority w:val="0"/>
    <w:pPr>
      <w:widowControl/>
      <w:adjustRightInd w:val="0"/>
      <w:spacing w:after="160" w:line="240" w:lineRule="exact"/>
      <w:jc w:val="left"/>
      <w:textAlignment w:val="baseline"/>
    </w:pPr>
  </w:style>
  <w:style w:type="character" w:customStyle="1" w:styleId="103">
    <w:name w:val="正文缩进 Char1"/>
    <w:qFormat/>
    <w:uiPriority w:val="0"/>
    <w:rPr>
      <w:rFonts w:eastAsia="宋体"/>
      <w:kern w:val="2"/>
      <w:sz w:val="21"/>
      <w:lang w:val="en-US" w:eastAsia="zh-CN" w:bidi="ar-SA"/>
    </w:rPr>
  </w:style>
  <w:style w:type="paragraph" w:customStyle="1" w:styleId="104">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5">
    <w:name w:val="列出段落11"/>
    <w:basedOn w:val="1"/>
    <w:unhideWhenUsed/>
    <w:qFormat/>
    <w:uiPriority w:val="34"/>
    <w:pPr>
      <w:ind w:firstLine="420" w:firstLineChars="200"/>
    </w:pPr>
  </w:style>
  <w:style w:type="paragraph" w:customStyle="1" w:styleId="106">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7">
    <w:name w:val="font11"/>
    <w:basedOn w:val="52"/>
    <w:qFormat/>
    <w:uiPriority w:val="0"/>
    <w:rPr>
      <w:rFonts w:hint="eastAsia" w:ascii="宋体" w:hAnsi="宋体" w:eastAsia="宋体" w:cs="宋体"/>
      <w:b/>
      <w:color w:val="000000"/>
      <w:sz w:val="21"/>
      <w:szCs w:val="21"/>
      <w:u w:val="none"/>
    </w:rPr>
  </w:style>
  <w:style w:type="character" w:customStyle="1" w:styleId="108">
    <w:name w:val="批注文字 Char1"/>
    <w:qFormat/>
    <w:locked/>
    <w:uiPriority w:val="0"/>
    <w:rPr>
      <w:rFonts w:ascii="Calibri" w:hAnsi="Calibri" w:eastAsia="宋体" w:cs="Calibri"/>
      <w:szCs w:val="21"/>
    </w:rPr>
  </w:style>
  <w:style w:type="character" w:customStyle="1" w:styleId="109">
    <w:name w:val="title1"/>
    <w:qFormat/>
    <w:uiPriority w:val="0"/>
    <w:rPr>
      <w:rFonts w:hint="eastAsia" w:ascii="微软雅黑" w:hAnsi="微软雅黑" w:eastAsia="微软雅黑"/>
      <w:sz w:val="21"/>
      <w:szCs w:val="21"/>
    </w:rPr>
  </w:style>
  <w:style w:type="character" w:customStyle="1" w:styleId="110">
    <w:name w:val="sect2title1"/>
    <w:qFormat/>
    <w:uiPriority w:val="0"/>
    <w:rPr>
      <w:rFonts w:hint="eastAsia" w:ascii="微软雅黑" w:hAnsi="微软雅黑" w:eastAsia="微软雅黑"/>
      <w:b/>
      <w:bCs/>
      <w:sz w:val="21"/>
      <w:szCs w:val="21"/>
    </w:rPr>
  </w:style>
  <w:style w:type="paragraph" w:customStyle="1" w:styleId="111">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2">
    <w:name w:val="font01"/>
    <w:basedOn w:val="52"/>
    <w:qFormat/>
    <w:uiPriority w:val="0"/>
    <w:rPr>
      <w:rFonts w:ascii="Tahoma" w:hAnsi="Tahoma" w:eastAsia="Tahoma" w:cs="Tahoma"/>
      <w:color w:val="000000"/>
      <w:sz w:val="20"/>
      <w:szCs w:val="20"/>
      <w:u w:val="none"/>
    </w:rPr>
  </w:style>
  <w:style w:type="paragraph" w:customStyle="1" w:styleId="113">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8">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9">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20">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1">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2">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3">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7">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2">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5">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40">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5">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6">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8">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9">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5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2">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5">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8">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9">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2">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3">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4">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7">
    <w:name w:val="font41"/>
    <w:basedOn w:val="52"/>
    <w:qFormat/>
    <w:uiPriority w:val="0"/>
    <w:rPr>
      <w:rFonts w:hint="eastAsia" w:ascii="仿宋_GB2312" w:eastAsia="仿宋_GB2312" w:cs="仿宋_GB2312"/>
      <w:color w:val="000000"/>
      <w:sz w:val="20"/>
      <w:szCs w:val="20"/>
      <w:u w:val="none"/>
    </w:rPr>
  </w:style>
  <w:style w:type="character" w:customStyle="1" w:styleId="168">
    <w:name w:val="font31"/>
    <w:basedOn w:val="52"/>
    <w:qFormat/>
    <w:uiPriority w:val="0"/>
    <w:rPr>
      <w:rFonts w:hint="default" w:ascii="Symbol" w:hAnsi="Symbol" w:cs="Symbol"/>
      <w:color w:val="000000"/>
      <w:sz w:val="20"/>
      <w:szCs w:val="20"/>
      <w:u w:val="none"/>
    </w:rPr>
  </w:style>
  <w:style w:type="character" w:customStyle="1" w:styleId="169">
    <w:name w:val="font71"/>
    <w:basedOn w:val="52"/>
    <w:qFormat/>
    <w:uiPriority w:val="0"/>
    <w:rPr>
      <w:rFonts w:ascii="Arial" w:hAnsi="Arial" w:cs="Arial"/>
      <w:color w:val="000000"/>
      <w:sz w:val="20"/>
      <w:szCs w:val="20"/>
      <w:u w:val="none"/>
    </w:rPr>
  </w:style>
  <w:style w:type="character" w:customStyle="1" w:styleId="170">
    <w:name w:val="font21"/>
    <w:basedOn w:val="52"/>
    <w:qFormat/>
    <w:uiPriority w:val="0"/>
    <w:rPr>
      <w:rFonts w:hint="default" w:ascii="Symbol" w:hAnsi="Symbol" w:cs="Symbol"/>
      <w:color w:val="000000"/>
      <w:sz w:val="20"/>
      <w:szCs w:val="20"/>
      <w:u w:val="none"/>
    </w:rPr>
  </w:style>
  <w:style w:type="character" w:customStyle="1" w:styleId="171">
    <w:name w:val="font91"/>
    <w:basedOn w:val="52"/>
    <w:qFormat/>
    <w:uiPriority w:val="0"/>
    <w:rPr>
      <w:rFonts w:ascii="Arial" w:hAnsi="Arial" w:cs="Arial"/>
      <w:color w:val="000000"/>
      <w:sz w:val="20"/>
      <w:szCs w:val="20"/>
      <w:u w:val="none"/>
    </w:rPr>
  </w:style>
  <w:style w:type="character" w:customStyle="1" w:styleId="172">
    <w:name w:val="font51"/>
    <w:basedOn w:val="52"/>
    <w:qFormat/>
    <w:uiPriority w:val="0"/>
    <w:rPr>
      <w:rFonts w:ascii="仿宋" w:hAnsi="仿宋" w:eastAsia="仿宋" w:cs="仿宋"/>
      <w:color w:val="000000"/>
      <w:sz w:val="21"/>
      <w:szCs w:val="21"/>
      <w:u w:val="none"/>
    </w:rPr>
  </w:style>
  <w:style w:type="character" w:customStyle="1" w:styleId="173">
    <w:name w:val="font101"/>
    <w:basedOn w:val="52"/>
    <w:qFormat/>
    <w:uiPriority w:val="0"/>
    <w:rPr>
      <w:rFonts w:hint="eastAsia" w:ascii="仿宋_GB2312" w:eastAsia="仿宋_GB2312" w:cs="仿宋_GB2312"/>
      <w:color w:val="000000"/>
      <w:sz w:val="20"/>
      <w:szCs w:val="20"/>
      <w:u w:val="none"/>
    </w:rPr>
  </w:style>
  <w:style w:type="character" w:customStyle="1" w:styleId="174">
    <w:name w:val="font61"/>
    <w:basedOn w:val="52"/>
    <w:qFormat/>
    <w:uiPriority w:val="0"/>
    <w:rPr>
      <w:rFonts w:hint="eastAsia" w:ascii="宋体" w:hAnsi="宋体" w:eastAsia="宋体" w:cs="宋体"/>
      <w:color w:val="000000"/>
      <w:sz w:val="20"/>
      <w:szCs w:val="20"/>
      <w:u w:val="none"/>
    </w:rPr>
  </w:style>
  <w:style w:type="character" w:customStyle="1" w:styleId="175">
    <w:name w:val="font81"/>
    <w:basedOn w:val="52"/>
    <w:qFormat/>
    <w:uiPriority w:val="0"/>
    <w:rPr>
      <w:rFonts w:hint="eastAsia" w:ascii="仿宋" w:hAnsi="仿宋" w:eastAsia="仿宋" w:cs="仿宋"/>
      <w:color w:val="000000"/>
      <w:sz w:val="21"/>
      <w:szCs w:val="21"/>
      <w:u w:val="none"/>
    </w:rPr>
  </w:style>
  <w:style w:type="character" w:customStyle="1" w:styleId="176">
    <w:name w:val="font111"/>
    <w:basedOn w:val="52"/>
    <w:qFormat/>
    <w:uiPriority w:val="0"/>
    <w:rPr>
      <w:rFonts w:hint="eastAsia" w:ascii="仿宋_GB2312" w:eastAsia="仿宋_GB2312" w:cs="仿宋_GB2312"/>
      <w:color w:val="000000"/>
      <w:sz w:val="21"/>
      <w:szCs w:val="21"/>
      <w:u w:val="none"/>
    </w:rPr>
  </w:style>
  <w:style w:type="character" w:customStyle="1" w:styleId="177">
    <w:name w:val="font121"/>
    <w:basedOn w:val="52"/>
    <w:qFormat/>
    <w:uiPriority w:val="0"/>
    <w:rPr>
      <w:rFonts w:ascii="Arial" w:hAnsi="Arial" w:cs="Arial"/>
      <w:color w:val="000000"/>
      <w:sz w:val="20"/>
      <w:szCs w:val="20"/>
      <w:u w:val="none"/>
    </w:rPr>
  </w:style>
  <w:style w:type="character" w:customStyle="1" w:styleId="178">
    <w:name w:val="font112"/>
    <w:basedOn w:val="52"/>
    <w:qFormat/>
    <w:uiPriority w:val="0"/>
    <w:rPr>
      <w:rFonts w:hint="eastAsia" w:ascii="仿宋_GB2312" w:eastAsia="仿宋_GB2312" w:cs="仿宋_GB2312"/>
      <w:color w:val="000000"/>
      <w:sz w:val="21"/>
      <w:szCs w:val="21"/>
      <w:u w:val="none"/>
    </w:rPr>
  </w:style>
  <w:style w:type="paragraph" w:customStyle="1" w:styleId="179">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80">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1">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3">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4">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5">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6">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7">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8">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9">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0">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4">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5">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6">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7">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8">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9">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0">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1">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3">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4">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6">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7">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8">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9">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0">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6">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7">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8">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9">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0">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2">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3">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5">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8">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9">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0">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1">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2">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3">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4">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5">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6">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7">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8">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1">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2">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5">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6">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7">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8">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3">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4">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正文"/>
    <w:basedOn w:val="1"/>
    <w:qFormat/>
    <w:uiPriority w:val="0"/>
    <w:pPr>
      <w:spacing w:beforeLines="50"/>
      <w:ind w:firstLine="200" w:firstLineChars="200"/>
    </w:pPr>
    <w:rPr>
      <w:rFonts w:ascii="Calibri" w:hAnsi="Calibri" w:eastAsia="华文仿宋"/>
      <w:szCs w:val="22"/>
    </w:rPr>
  </w:style>
  <w:style w:type="paragraph" w:customStyle="1" w:styleId="257">
    <w:name w:val="正文A缩进"/>
    <w:basedOn w:val="1"/>
    <w:qFormat/>
    <w:uiPriority w:val="0"/>
    <w:pPr>
      <w:spacing w:line="360" w:lineRule="auto"/>
      <w:ind w:firstLine="200" w:firstLineChars="200"/>
    </w:pPr>
    <w:rPr>
      <w:kern w:val="0"/>
      <w:sz w:val="28"/>
      <w:szCs w:val="20"/>
    </w:rPr>
  </w:style>
  <w:style w:type="paragraph" w:customStyle="1" w:styleId="258">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9">
    <w:name w:val="标题 5 Char"/>
    <w:basedOn w:val="52"/>
    <w:qFormat/>
    <w:uiPriority w:val="0"/>
    <w:rPr>
      <w:b/>
      <w:bCs/>
      <w:kern w:val="2"/>
      <w:sz w:val="28"/>
      <w:szCs w:val="28"/>
    </w:rPr>
  </w:style>
  <w:style w:type="character" w:customStyle="1" w:styleId="260">
    <w:name w:val="标题 6 Char"/>
    <w:basedOn w:val="52"/>
    <w:qFormat/>
    <w:uiPriority w:val="9"/>
    <w:rPr>
      <w:rFonts w:asciiTheme="majorHAnsi" w:hAnsiTheme="majorHAnsi" w:eastAsiaTheme="majorEastAsia" w:cstheme="majorBidi"/>
      <w:b/>
      <w:bCs/>
      <w:kern w:val="2"/>
      <w:sz w:val="24"/>
      <w:szCs w:val="24"/>
    </w:rPr>
  </w:style>
  <w:style w:type="character" w:customStyle="1" w:styleId="261">
    <w:name w:val="标题 7 Char"/>
    <w:basedOn w:val="52"/>
    <w:qFormat/>
    <w:uiPriority w:val="9"/>
    <w:rPr>
      <w:b/>
      <w:bCs/>
      <w:kern w:val="2"/>
      <w:sz w:val="24"/>
      <w:szCs w:val="24"/>
    </w:rPr>
  </w:style>
  <w:style w:type="character" w:customStyle="1" w:styleId="262">
    <w:name w:val="标题 8 Char"/>
    <w:basedOn w:val="52"/>
    <w:qFormat/>
    <w:uiPriority w:val="9"/>
    <w:rPr>
      <w:rFonts w:asciiTheme="majorHAnsi" w:hAnsiTheme="majorHAnsi" w:eastAsiaTheme="majorEastAsia" w:cstheme="majorBidi"/>
      <w:kern w:val="2"/>
      <w:sz w:val="24"/>
      <w:szCs w:val="24"/>
    </w:rPr>
  </w:style>
  <w:style w:type="character" w:customStyle="1" w:styleId="263">
    <w:name w:val="标题 9 Char"/>
    <w:basedOn w:val="52"/>
    <w:qFormat/>
    <w:uiPriority w:val="0"/>
    <w:rPr>
      <w:rFonts w:asciiTheme="majorHAnsi" w:hAnsiTheme="majorHAnsi" w:eastAsiaTheme="majorEastAsia" w:cstheme="majorBidi"/>
      <w:kern w:val="2"/>
      <w:sz w:val="21"/>
      <w:szCs w:val="21"/>
    </w:rPr>
  </w:style>
  <w:style w:type="paragraph" w:customStyle="1" w:styleId="264">
    <w:name w:val="！表格内容"/>
    <w:basedOn w:val="1"/>
    <w:qFormat/>
    <w:uiPriority w:val="0"/>
    <w:pPr>
      <w:spacing w:line="320" w:lineRule="atLeast"/>
    </w:pPr>
  </w:style>
  <w:style w:type="character" w:customStyle="1" w:styleId="265">
    <w:name w:val="页眉 Char2"/>
    <w:basedOn w:val="52"/>
    <w:qFormat/>
    <w:uiPriority w:val="99"/>
    <w:rPr>
      <w:rFonts w:ascii="Times New Roman" w:hAnsi="Times New Roman" w:eastAsia="宋体" w:cs="Times New Roman"/>
      <w:sz w:val="18"/>
      <w:szCs w:val="18"/>
    </w:rPr>
  </w:style>
  <w:style w:type="character" w:customStyle="1" w:styleId="266">
    <w:name w:val="页脚 Char1"/>
    <w:basedOn w:val="52"/>
    <w:qFormat/>
    <w:uiPriority w:val="99"/>
    <w:rPr>
      <w:rFonts w:ascii="Times New Roman" w:hAnsi="Times New Roman" w:eastAsia="宋体" w:cs="Times New Roman"/>
      <w:sz w:val="18"/>
      <w:szCs w:val="18"/>
    </w:rPr>
  </w:style>
  <w:style w:type="paragraph" w:customStyle="1" w:styleId="267">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8">
    <w:name w:val="批注文字 字符"/>
    <w:basedOn w:val="52"/>
    <w:qFormat/>
    <w:uiPriority w:val="99"/>
    <w:rPr>
      <w:rFonts w:ascii="Times New Roman" w:hAnsi="Times New Roman" w:eastAsia="宋体" w:cs="Times New Roman"/>
      <w:szCs w:val="24"/>
    </w:rPr>
  </w:style>
  <w:style w:type="character" w:customStyle="1" w:styleId="269">
    <w:name w:val="文档结构图 Char1"/>
    <w:basedOn w:val="52"/>
    <w:qFormat/>
    <w:uiPriority w:val="0"/>
    <w:rPr>
      <w:rFonts w:ascii="宋体" w:hAnsi="Times New Roman" w:eastAsia="宋体" w:cs="Times New Roman"/>
      <w:sz w:val="18"/>
      <w:szCs w:val="18"/>
    </w:rPr>
  </w:style>
  <w:style w:type="character" w:customStyle="1" w:styleId="270">
    <w:name w:val="批注主题 Char1"/>
    <w:basedOn w:val="108"/>
    <w:qFormat/>
    <w:uiPriority w:val="0"/>
    <w:rPr>
      <w:rFonts w:ascii="Times New Roman" w:hAnsi="Times New Roman" w:eastAsia="宋体" w:cs="Times New Roman"/>
      <w:b/>
      <w:bCs/>
      <w:szCs w:val="24"/>
    </w:rPr>
  </w:style>
  <w:style w:type="character" w:customStyle="1" w:styleId="271">
    <w:name w:val="批注框文本 Char1"/>
    <w:basedOn w:val="52"/>
    <w:qFormat/>
    <w:uiPriority w:val="0"/>
    <w:rPr>
      <w:rFonts w:ascii="Times New Roman" w:hAnsi="Times New Roman" w:eastAsia="宋体" w:cs="Times New Roman"/>
      <w:sz w:val="18"/>
      <w:szCs w:val="18"/>
    </w:rPr>
  </w:style>
  <w:style w:type="character" w:customStyle="1" w:styleId="272">
    <w:name w:val="标题 1 Char1"/>
    <w:basedOn w:val="52"/>
    <w:qFormat/>
    <w:uiPriority w:val="0"/>
    <w:rPr>
      <w:b/>
      <w:bCs/>
      <w:kern w:val="44"/>
      <w:sz w:val="44"/>
      <w:szCs w:val="44"/>
    </w:rPr>
  </w:style>
  <w:style w:type="character" w:customStyle="1" w:styleId="273">
    <w:name w:val="标题 2 Char1"/>
    <w:basedOn w:val="52"/>
    <w:qFormat/>
    <w:uiPriority w:val="0"/>
    <w:rPr>
      <w:rFonts w:asciiTheme="majorHAnsi" w:hAnsiTheme="majorHAnsi" w:eastAsiaTheme="majorEastAsia" w:cstheme="majorBidi"/>
      <w:b/>
      <w:bCs/>
      <w:kern w:val="2"/>
      <w:sz w:val="32"/>
      <w:szCs w:val="32"/>
    </w:rPr>
  </w:style>
  <w:style w:type="character" w:customStyle="1" w:styleId="274">
    <w:name w:val="标题 3 Char1"/>
    <w:basedOn w:val="52"/>
    <w:qFormat/>
    <w:uiPriority w:val="99"/>
    <w:rPr>
      <w:rFonts w:ascii="宋体" w:hAnsi="Arial"/>
      <w:b/>
      <w:kern w:val="2"/>
      <w:sz w:val="28"/>
    </w:rPr>
  </w:style>
  <w:style w:type="character" w:customStyle="1" w:styleId="275">
    <w:name w:val="Char Char3"/>
    <w:qFormat/>
    <w:uiPriority w:val="0"/>
    <w:rPr>
      <w:rFonts w:hint="eastAsia" w:ascii="宋体" w:hAnsi="宋体" w:eastAsia="宋体"/>
      <w:kern w:val="2"/>
      <w:sz w:val="21"/>
      <w:szCs w:val="24"/>
      <w:lang w:val="en-US" w:eastAsia="zh-CN" w:bidi="ar-SA"/>
    </w:rPr>
  </w:style>
  <w:style w:type="character" w:customStyle="1" w:styleId="276">
    <w:name w:val="正文－段落 Char Char"/>
    <w:link w:val="277"/>
    <w:qFormat/>
    <w:uiPriority w:val="0"/>
    <w:rPr>
      <w:rFonts w:eastAsia="Times New Roman"/>
      <w:sz w:val="24"/>
      <w:szCs w:val="24"/>
    </w:rPr>
  </w:style>
  <w:style w:type="paragraph" w:customStyle="1" w:styleId="277">
    <w:name w:val="正文－段落"/>
    <w:link w:val="276"/>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8">
    <w:name w:val="纯文本 Char1"/>
    <w:qFormat/>
    <w:uiPriority w:val="0"/>
    <w:rPr>
      <w:rFonts w:ascii="宋体" w:hAnsi="Courier New"/>
      <w:spacing w:val="-8"/>
      <w:kern w:val="2"/>
      <w:sz w:val="24"/>
    </w:rPr>
  </w:style>
  <w:style w:type="character" w:customStyle="1" w:styleId="279">
    <w:name w:val="日期 Char"/>
    <w:qFormat/>
    <w:uiPriority w:val="0"/>
    <w:rPr>
      <w:rFonts w:ascii="宋体" w:hAnsi="宋体"/>
      <w:sz w:val="24"/>
    </w:rPr>
  </w:style>
  <w:style w:type="character" w:customStyle="1" w:styleId="280">
    <w:name w:val="Char Char9"/>
    <w:qFormat/>
    <w:uiPriority w:val="0"/>
    <w:rPr>
      <w:rFonts w:hint="default" w:ascii="Calibri" w:hAnsi="Calibri" w:eastAsia="宋体"/>
      <w:sz w:val="18"/>
      <w:szCs w:val="18"/>
      <w:lang w:bidi="ar-SA"/>
    </w:rPr>
  </w:style>
  <w:style w:type="character" w:customStyle="1" w:styleId="281">
    <w:name w:val="Char Char17"/>
    <w:qFormat/>
    <w:uiPriority w:val="0"/>
    <w:rPr>
      <w:rFonts w:hint="eastAsia" w:ascii="仿宋_GB2312" w:hAnsi="Calibri" w:eastAsia="仿宋_GB2312"/>
      <w:b/>
      <w:bCs/>
      <w:color w:val="000000"/>
      <w:kern w:val="2"/>
      <w:sz w:val="32"/>
      <w:szCs w:val="32"/>
      <w:lang w:bidi="ar-SA"/>
    </w:rPr>
  </w:style>
  <w:style w:type="character" w:customStyle="1" w:styleId="282">
    <w:name w:val="HTML 预设格式 Char"/>
    <w:qFormat/>
    <w:uiPriority w:val="0"/>
    <w:rPr>
      <w:rFonts w:ascii="黑体" w:hAnsi="Courier New" w:eastAsia="黑体" w:cs="Courier New"/>
    </w:rPr>
  </w:style>
  <w:style w:type="character" w:customStyle="1" w:styleId="283">
    <w:name w:val="1.5倍行距 Char Char"/>
    <w:link w:val="284"/>
    <w:qFormat/>
    <w:uiPriority w:val="0"/>
    <w:rPr>
      <w:kern w:val="2"/>
      <w:sz w:val="21"/>
      <w:szCs w:val="24"/>
    </w:rPr>
  </w:style>
  <w:style w:type="paragraph" w:customStyle="1" w:styleId="284">
    <w:name w:val="1.5倍行距"/>
    <w:basedOn w:val="1"/>
    <w:link w:val="283"/>
    <w:qFormat/>
    <w:uiPriority w:val="0"/>
    <w:pPr>
      <w:spacing w:line="360" w:lineRule="auto"/>
      <w:ind w:firstLine="420"/>
    </w:pPr>
  </w:style>
  <w:style w:type="character" w:customStyle="1" w:styleId="285">
    <w:name w:val="H2 Char1"/>
    <w:qFormat/>
    <w:uiPriority w:val="0"/>
    <w:rPr>
      <w:rFonts w:ascii="Cambria" w:hAnsi="Cambria"/>
      <w:b/>
      <w:bCs/>
      <w:sz w:val="32"/>
      <w:szCs w:val="32"/>
    </w:rPr>
  </w:style>
  <w:style w:type="character" w:customStyle="1" w:styleId="286">
    <w:name w:val="Char Char4"/>
    <w:qFormat/>
    <w:uiPriority w:val="0"/>
    <w:rPr>
      <w:rFonts w:hint="default" w:ascii="Calibri" w:hAnsi="Calibri" w:eastAsia="宋体"/>
      <w:kern w:val="2"/>
      <w:sz w:val="21"/>
      <w:szCs w:val="22"/>
      <w:lang w:val="en-US" w:eastAsia="zh-CN" w:bidi="ar-SA"/>
    </w:rPr>
  </w:style>
  <w:style w:type="character" w:customStyle="1" w:styleId="287">
    <w:name w:val="正文文本缩进 2 Char"/>
    <w:qFormat/>
    <w:uiPriority w:val="0"/>
    <w:rPr>
      <w:kern w:val="2"/>
      <w:sz w:val="21"/>
    </w:rPr>
  </w:style>
  <w:style w:type="character" w:customStyle="1" w:styleId="288">
    <w:name w:val="签名 Char1"/>
    <w:link w:val="33"/>
    <w:qFormat/>
    <w:uiPriority w:val="0"/>
    <w:rPr>
      <w:rFonts w:eastAsia="楷体_GB2312"/>
      <w:kern w:val="2"/>
      <w:sz w:val="21"/>
    </w:rPr>
  </w:style>
  <w:style w:type="character" w:customStyle="1" w:styleId="289">
    <w:name w:val="标题2 Char"/>
    <w:link w:val="290"/>
    <w:qFormat/>
    <w:uiPriority w:val="0"/>
    <w:rPr>
      <w:rFonts w:ascii="仿宋" w:hAnsi="仿宋" w:eastAsia="仿宋"/>
      <w:b/>
      <w:bCs/>
      <w:color w:val="000000"/>
      <w:kern w:val="2"/>
      <w:sz w:val="24"/>
      <w:szCs w:val="24"/>
    </w:rPr>
  </w:style>
  <w:style w:type="paragraph" w:customStyle="1" w:styleId="290">
    <w:name w:val="标题2"/>
    <w:basedOn w:val="291"/>
    <w:link w:val="289"/>
    <w:qFormat/>
    <w:uiPriority w:val="0"/>
    <w:pPr>
      <w:tabs>
        <w:tab w:val="left" w:pos="425"/>
        <w:tab w:val="left" w:pos="709"/>
        <w:tab w:val="left" w:pos="851"/>
        <w:tab w:val="left" w:pos="1419"/>
      </w:tabs>
    </w:pPr>
    <w:rPr>
      <w:szCs w:val="24"/>
    </w:rPr>
  </w:style>
  <w:style w:type="paragraph" w:customStyle="1" w:styleId="291">
    <w:name w:val="三级"/>
    <w:basedOn w:val="4"/>
    <w:link w:val="292"/>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2">
    <w:name w:val="三级 Char"/>
    <w:link w:val="291"/>
    <w:qFormat/>
    <w:uiPriority w:val="0"/>
    <w:rPr>
      <w:rFonts w:ascii="仿宋" w:hAnsi="仿宋" w:eastAsia="仿宋"/>
      <w:b/>
      <w:bCs/>
      <w:color w:val="000000"/>
      <w:kern w:val="2"/>
      <w:sz w:val="32"/>
      <w:szCs w:val="32"/>
    </w:rPr>
  </w:style>
  <w:style w:type="character" w:customStyle="1" w:styleId="293">
    <w:name w:val="正文首行缩进 2 Char"/>
    <w:link w:val="49"/>
    <w:qFormat/>
    <w:uiPriority w:val="0"/>
    <w:rPr>
      <w:sz w:val="24"/>
      <w:szCs w:val="24"/>
    </w:rPr>
  </w:style>
  <w:style w:type="character" w:customStyle="1" w:styleId="294">
    <w:name w:val="正文首行缩进 Char Char Char1"/>
    <w:qFormat/>
    <w:uiPriority w:val="0"/>
    <w:rPr>
      <w:rFonts w:ascii="Times New Roman" w:hAnsi="Times New Roman"/>
      <w:kern w:val="2"/>
      <w:sz w:val="24"/>
      <w:szCs w:val="24"/>
    </w:rPr>
  </w:style>
  <w:style w:type="character" w:customStyle="1" w:styleId="295">
    <w:name w:val="标题 Char1"/>
    <w:qFormat/>
    <w:uiPriority w:val="0"/>
    <w:rPr>
      <w:rFonts w:ascii="Arial" w:hAnsi="Arial"/>
      <w:b/>
      <w:kern w:val="2"/>
      <w:sz w:val="36"/>
      <w:szCs w:val="24"/>
    </w:rPr>
  </w:style>
  <w:style w:type="character" w:customStyle="1" w:styleId="296">
    <w:name w:val="正文文本 字符"/>
    <w:qFormat/>
    <w:uiPriority w:val="0"/>
    <w:rPr>
      <w:rFonts w:eastAsia="宋体"/>
      <w:kern w:val="2"/>
      <w:sz w:val="21"/>
      <w:szCs w:val="24"/>
      <w:lang w:bidi="ar-SA"/>
    </w:rPr>
  </w:style>
  <w:style w:type="character" w:customStyle="1" w:styleId="297">
    <w:name w:val="正文文本缩进 Char"/>
    <w:qFormat/>
    <w:uiPriority w:val="0"/>
    <w:rPr>
      <w:kern w:val="2"/>
      <w:sz w:val="24"/>
    </w:rPr>
  </w:style>
  <w:style w:type="character" w:customStyle="1" w:styleId="298">
    <w:name w:val="题注 Char1"/>
    <w:link w:val="16"/>
    <w:qFormat/>
    <w:uiPriority w:val="0"/>
    <w:rPr>
      <w:rFonts w:ascii="Cambria" w:hAnsi="Cambria" w:eastAsia="黑体"/>
      <w:kern w:val="2"/>
      <w:sz w:val="21"/>
      <w:szCs w:val="24"/>
    </w:rPr>
  </w:style>
  <w:style w:type="character" w:customStyle="1" w:styleId="299">
    <w:name w:val="bt Char1"/>
    <w:qFormat/>
    <w:uiPriority w:val="0"/>
    <w:rPr>
      <w:rFonts w:ascii="Times New Roman" w:hAnsi="Times New Roman"/>
      <w:kern w:val="2"/>
      <w:sz w:val="24"/>
      <w:szCs w:val="24"/>
    </w:rPr>
  </w:style>
  <w:style w:type="character" w:customStyle="1" w:styleId="300">
    <w:name w:val="Char Char18"/>
    <w:qFormat/>
    <w:uiPriority w:val="0"/>
    <w:rPr>
      <w:rFonts w:hint="default" w:ascii="Cambria" w:hAnsi="Cambria" w:eastAsia="宋体"/>
      <w:b/>
      <w:bCs/>
      <w:sz w:val="32"/>
      <w:szCs w:val="32"/>
      <w:lang w:bidi="ar-SA"/>
    </w:rPr>
  </w:style>
  <w:style w:type="character" w:customStyle="1" w:styleId="301">
    <w:name w:val="四级 Char"/>
    <w:link w:val="302"/>
    <w:qFormat/>
    <w:uiPriority w:val="0"/>
    <w:rPr>
      <w:rFonts w:ascii="仿宋" w:hAnsi="仿宋" w:eastAsia="仿宋"/>
      <w:bCs/>
      <w:kern w:val="2"/>
      <w:sz w:val="32"/>
      <w:szCs w:val="32"/>
    </w:rPr>
  </w:style>
  <w:style w:type="paragraph" w:customStyle="1" w:styleId="302">
    <w:name w:val="四级"/>
    <w:basedOn w:val="6"/>
    <w:link w:val="301"/>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3">
    <w:name w:val="cnfont1"/>
    <w:basedOn w:val="52"/>
    <w:qFormat/>
    <w:uiPriority w:val="0"/>
  </w:style>
  <w:style w:type="character" w:customStyle="1" w:styleId="304">
    <w:name w:val="p141"/>
    <w:qFormat/>
    <w:uiPriority w:val="0"/>
    <w:rPr>
      <w:sz w:val="21"/>
      <w:szCs w:val="21"/>
    </w:rPr>
  </w:style>
  <w:style w:type="character" w:customStyle="1" w:styleId="305">
    <w:name w:val="正文文本缩进 3 Char"/>
    <w:qFormat/>
    <w:uiPriority w:val="0"/>
    <w:rPr>
      <w:kern w:val="2"/>
      <w:sz w:val="21"/>
    </w:rPr>
  </w:style>
  <w:style w:type="character" w:customStyle="1" w:styleId="306">
    <w:name w:val="Char Char13"/>
    <w:qFormat/>
    <w:uiPriority w:val="0"/>
    <w:rPr>
      <w:rFonts w:ascii="Cambria" w:hAnsi="Cambria" w:eastAsia="宋体"/>
      <w:sz w:val="24"/>
      <w:szCs w:val="24"/>
      <w:lang w:bidi="ar-SA"/>
    </w:rPr>
  </w:style>
  <w:style w:type="character" w:customStyle="1" w:styleId="307">
    <w:name w:val="正文文本 2 Char1"/>
    <w:link w:val="43"/>
    <w:qFormat/>
    <w:uiPriority w:val="0"/>
    <w:rPr>
      <w:kern w:val="2"/>
      <w:sz w:val="28"/>
    </w:rPr>
  </w:style>
  <w:style w:type="character" w:customStyle="1" w:styleId="308">
    <w:name w:val="Char Char5"/>
    <w:qFormat/>
    <w:uiPriority w:val="0"/>
    <w:rPr>
      <w:rFonts w:ascii="宋体" w:hAnsi="宋体" w:eastAsia="宋体"/>
      <w:b/>
      <w:bCs/>
      <w:szCs w:val="24"/>
      <w:lang w:bidi="ar-SA"/>
    </w:rPr>
  </w:style>
  <w:style w:type="character" w:customStyle="1" w:styleId="309">
    <w:name w:val="正文文本 2 Char"/>
    <w:qFormat/>
    <w:uiPriority w:val="0"/>
    <w:rPr>
      <w:kern w:val="2"/>
      <w:sz w:val="28"/>
    </w:rPr>
  </w:style>
  <w:style w:type="character" w:customStyle="1" w:styleId="310">
    <w:name w:val="Char Char6"/>
    <w:qFormat/>
    <w:uiPriority w:val="0"/>
    <w:rPr>
      <w:rFonts w:ascii="宋体" w:hAnsi="宋体" w:eastAsia="宋体"/>
      <w:szCs w:val="24"/>
      <w:lang w:bidi="ar-SA"/>
    </w:rPr>
  </w:style>
  <w:style w:type="character" w:customStyle="1" w:styleId="311">
    <w:name w:val="Char Char15"/>
    <w:qFormat/>
    <w:uiPriority w:val="0"/>
    <w:rPr>
      <w:rFonts w:hint="default" w:ascii="Cambria" w:hAnsi="Cambria" w:eastAsia="宋体"/>
      <w:b/>
      <w:bCs/>
      <w:sz w:val="24"/>
      <w:szCs w:val="24"/>
      <w:lang w:bidi="ar-SA"/>
    </w:rPr>
  </w:style>
  <w:style w:type="character" w:customStyle="1" w:styleId="312">
    <w:name w:val="H4 Char"/>
    <w:qFormat/>
    <w:uiPriority w:val="0"/>
    <w:rPr>
      <w:rFonts w:ascii="Cambria" w:hAnsi="Cambria" w:eastAsia="仿宋_GB2312"/>
      <w:b/>
      <w:bCs/>
      <w:sz w:val="32"/>
      <w:szCs w:val="28"/>
    </w:rPr>
  </w:style>
  <w:style w:type="character" w:customStyle="1" w:styleId="313">
    <w:name w:val="Char Char20"/>
    <w:qFormat/>
    <w:uiPriority w:val="0"/>
    <w:rPr>
      <w:rFonts w:eastAsia="宋体"/>
      <w:b/>
      <w:kern w:val="2"/>
      <w:sz w:val="28"/>
      <w:lang w:bidi="ar-SA"/>
    </w:rPr>
  </w:style>
  <w:style w:type="character" w:customStyle="1" w:styleId="314">
    <w:name w:val="正文文本缩进 3 Char1"/>
    <w:link w:val="40"/>
    <w:qFormat/>
    <w:uiPriority w:val="0"/>
    <w:rPr>
      <w:kern w:val="2"/>
      <w:sz w:val="21"/>
    </w:rPr>
  </w:style>
  <w:style w:type="character" w:customStyle="1" w:styleId="315">
    <w:name w:val="Char Char16"/>
    <w:qFormat/>
    <w:uiPriority w:val="0"/>
    <w:rPr>
      <w:rFonts w:hint="eastAsia" w:ascii="仿宋_GB2313" w:hAnsi="仿宋_GB2313" w:eastAsia="仿宋_GB2312"/>
      <w:b/>
      <w:bCs/>
      <w:sz w:val="32"/>
      <w:szCs w:val="28"/>
      <w:lang w:bidi="ar-SA"/>
    </w:rPr>
  </w:style>
  <w:style w:type="character" w:customStyle="1" w:styleId="316">
    <w:name w:val="Char Char7"/>
    <w:qFormat/>
    <w:uiPriority w:val="0"/>
    <w:rPr>
      <w:rFonts w:ascii="宋体" w:hAnsi="宋体" w:eastAsia="宋体"/>
      <w:sz w:val="24"/>
      <w:szCs w:val="24"/>
      <w:lang w:bidi="ar-SA"/>
    </w:rPr>
  </w:style>
  <w:style w:type="character" w:customStyle="1" w:styleId="317">
    <w:name w:val="日期 Char1"/>
    <w:link w:val="28"/>
    <w:qFormat/>
    <w:uiPriority w:val="0"/>
    <w:rPr>
      <w:rFonts w:ascii="宋体" w:hAnsi="宋体"/>
      <w:kern w:val="2"/>
      <w:sz w:val="24"/>
      <w:szCs w:val="24"/>
    </w:rPr>
  </w:style>
  <w:style w:type="character" w:customStyle="1" w:styleId="318">
    <w:name w:val="Char Char12"/>
    <w:qFormat/>
    <w:uiPriority w:val="0"/>
    <w:rPr>
      <w:rFonts w:hint="default" w:ascii="Cambria" w:hAnsi="Cambria" w:eastAsia="宋体"/>
      <w:szCs w:val="21"/>
      <w:lang w:bidi="ar-SA"/>
    </w:rPr>
  </w:style>
  <w:style w:type="character" w:customStyle="1" w:styleId="319">
    <w:name w:val="标题 4 Char"/>
    <w:qFormat/>
    <w:uiPriority w:val="0"/>
    <w:rPr>
      <w:rFonts w:ascii="Arial" w:hAnsi="Arial" w:eastAsia="黑体"/>
      <w:b/>
      <w:kern w:val="2"/>
      <w:sz w:val="24"/>
    </w:rPr>
  </w:style>
  <w:style w:type="character" w:customStyle="1" w:styleId="320">
    <w:name w:val="Char Char2"/>
    <w:qFormat/>
    <w:uiPriority w:val="0"/>
    <w:rPr>
      <w:rFonts w:ascii="宋体" w:hAnsi="宋体" w:eastAsia="宋体"/>
      <w:kern w:val="2"/>
      <w:sz w:val="24"/>
      <w:szCs w:val="24"/>
      <w:lang w:val="en-US" w:eastAsia="zh-CN" w:bidi="ar-SA"/>
    </w:rPr>
  </w:style>
  <w:style w:type="character" w:customStyle="1" w:styleId="321">
    <w:name w:val="*正文 Char"/>
    <w:link w:val="322"/>
    <w:qFormat/>
    <w:uiPriority w:val="0"/>
    <w:rPr>
      <w:rFonts w:ascii="宋体" w:hAnsi="宋体"/>
      <w:sz w:val="24"/>
      <w:szCs w:val="24"/>
    </w:rPr>
  </w:style>
  <w:style w:type="paragraph" w:customStyle="1" w:styleId="322">
    <w:name w:val="*正文"/>
    <w:basedOn w:val="1"/>
    <w:link w:val="321"/>
    <w:qFormat/>
    <w:uiPriority w:val="0"/>
    <w:pPr>
      <w:spacing w:line="360" w:lineRule="auto"/>
      <w:ind w:firstLine="200" w:firstLineChars="200"/>
    </w:pPr>
    <w:rPr>
      <w:rFonts w:ascii="宋体" w:hAnsi="宋体"/>
      <w:kern w:val="0"/>
      <w:sz w:val="24"/>
    </w:rPr>
  </w:style>
  <w:style w:type="character" w:customStyle="1" w:styleId="323">
    <w:name w:val="页脚 字符1"/>
    <w:qFormat/>
    <w:uiPriority w:val="0"/>
    <w:rPr>
      <w:rFonts w:eastAsia="宋体"/>
      <w:kern w:val="2"/>
      <w:sz w:val="18"/>
      <w:lang w:bidi="ar-SA"/>
    </w:rPr>
  </w:style>
  <w:style w:type="character" w:customStyle="1" w:styleId="324">
    <w:name w:val="GP正文[858D7CFB-ED40-4347-BF05-701D383B685F]"/>
    <w:link w:val="325"/>
    <w:qFormat/>
    <w:uiPriority w:val="0"/>
    <w:rPr>
      <w:rFonts w:ascii="宋体" w:hAnsi="宋体"/>
      <w:kern w:val="2"/>
      <w:sz w:val="24"/>
      <w:szCs w:val="24"/>
    </w:rPr>
  </w:style>
  <w:style w:type="paragraph" w:customStyle="1" w:styleId="325">
    <w:name w:val="GP正文"/>
    <w:basedOn w:val="1"/>
    <w:link w:val="324"/>
    <w:qFormat/>
    <w:uiPriority w:val="0"/>
    <w:pPr>
      <w:spacing w:line="360" w:lineRule="auto"/>
      <w:ind w:firstLine="200" w:firstLineChars="200"/>
      <w:jc w:val="left"/>
    </w:pPr>
    <w:rPr>
      <w:rFonts w:ascii="宋体" w:hAnsi="宋体"/>
      <w:sz w:val="24"/>
    </w:rPr>
  </w:style>
  <w:style w:type="character" w:customStyle="1" w:styleId="326">
    <w:name w:val="Char Char14"/>
    <w:qFormat/>
    <w:uiPriority w:val="0"/>
    <w:rPr>
      <w:rFonts w:ascii="Calibri" w:hAnsi="Calibri" w:eastAsia="宋体"/>
      <w:b/>
      <w:bCs/>
      <w:sz w:val="24"/>
      <w:szCs w:val="24"/>
      <w:lang w:bidi="ar-SA"/>
    </w:rPr>
  </w:style>
  <w:style w:type="character" w:customStyle="1" w:styleId="327">
    <w:name w:val="Char Char19"/>
    <w:qFormat/>
    <w:uiPriority w:val="0"/>
    <w:rPr>
      <w:rFonts w:ascii="Arial" w:hAnsi="Arial" w:eastAsia="黑体"/>
      <w:b/>
      <w:kern w:val="2"/>
      <w:sz w:val="24"/>
      <w:lang w:bidi="ar-SA"/>
    </w:rPr>
  </w:style>
  <w:style w:type="character" w:customStyle="1" w:styleId="328">
    <w:name w:val="正文文本 Char1"/>
    <w:qFormat/>
    <w:uiPriority w:val="0"/>
    <w:rPr>
      <w:kern w:val="2"/>
      <w:sz w:val="21"/>
      <w:szCs w:val="24"/>
    </w:rPr>
  </w:style>
  <w:style w:type="character" w:customStyle="1" w:styleId="329">
    <w:name w:val="二级 Char"/>
    <w:link w:val="330"/>
    <w:qFormat/>
    <w:uiPriority w:val="0"/>
    <w:rPr>
      <w:rFonts w:ascii="仿宋" w:hAnsi="仿宋" w:eastAsia="仿宋"/>
      <w:b/>
      <w:bCs/>
      <w:spacing w:val="24"/>
      <w:kern w:val="2"/>
      <w:sz w:val="32"/>
      <w:szCs w:val="32"/>
    </w:rPr>
  </w:style>
  <w:style w:type="paragraph" w:customStyle="1" w:styleId="330">
    <w:name w:val="二级"/>
    <w:basedOn w:val="5"/>
    <w:link w:val="329"/>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1">
    <w:name w:val="签名 Char"/>
    <w:qFormat/>
    <w:uiPriority w:val="0"/>
    <w:rPr>
      <w:rFonts w:eastAsia="楷体_GB2312"/>
      <w:kern w:val="2"/>
      <w:sz w:val="21"/>
    </w:rPr>
  </w:style>
  <w:style w:type="character" w:customStyle="1" w:styleId="332">
    <w:name w:val="Char Char"/>
    <w:qFormat/>
    <w:uiPriority w:val="0"/>
    <w:rPr>
      <w:rFonts w:hint="eastAsia" w:ascii="宋体" w:hAnsi="Courier New" w:eastAsia="宋体"/>
      <w:spacing w:val="-8"/>
      <w:kern w:val="2"/>
      <w:sz w:val="24"/>
      <w:lang w:val="en-US" w:eastAsia="zh-CN" w:bidi="ar-SA"/>
    </w:rPr>
  </w:style>
  <w:style w:type="character" w:customStyle="1" w:styleId="333">
    <w:name w:val="Char Char11"/>
    <w:qFormat/>
    <w:uiPriority w:val="0"/>
    <w:rPr>
      <w:rFonts w:hint="default" w:ascii="Calibri" w:hAnsi="Calibri" w:eastAsia="宋体"/>
      <w:sz w:val="18"/>
      <w:szCs w:val="18"/>
      <w:lang w:bidi="ar-SA"/>
    </w:rPr>
  </w:style>
  <w:style w:type="character" w:customStyle="1" w:styleId="334">
    <w:name w:val="页眉 字符1"/>
    <w:qFormat/>
    <w:uiPriority w:val="0"/>
    <w:rPr>
      <w:rFonts w:eastAsia="宋体"/>
      <w:kern w:val="2"/>
      <w:sz w:val="18"/>
      <w:szCs w:val="18"/>
      <w:lang w:bidi="ar-SA"/>
    </w:rPr>
  </w:style>
  <w:style w:type="character" w:customStyle="1" w:styleId="335">
    <w:name w:val="正文首行缩进 Char1"/>
    <w:qFormat/>
    <w:uiPriority w:val="0"/>
    <w:rPr>
      <w:kern w:val="2"/>
      <w:sz w:val="21"/>
    </w:rPr>
  </w:style>
  <w:style w:type="character" w:customStyle="1" w:styleId="336">
    <w:name w:val="页眉 Char1"/>
    <w:qFormat/>
    <w:uiPriority w:val="0"/>
    <w:rPr>
      <w:rFonts w:eastAsia="宋体"/>
      <w:kern w:val="2"/>
      <w:sz w:val="18"/>
      <w:szCs w:val="18"/>
      <w:lang w:val="en-US" w:eastAsia="zh-CN" w:bidi="ar-SA"/>
    </w:rPr>
  </w:style>
  <w:style w:type="character" w:customStyle="1" w:styleId="337">
    <w:name w:val="题注 Char"/>
    <w:qFormat/>
    <w:uiPriority w:val="0"/>
    <w:rPr>
      <w:rFonts w:ascii="Cambria" w:hAnsi="Cambria" w:eastAsia="黑体"/>
      <w:kern w:val="2"/>
      <w:lang w:bidi="ar-SA"/>
    </w:rPr>
  </w:style>
  <w:style w:type="character" w:customStyle="1" w:styleId="338">
    <w:name w:val="样式 标题 3 + 小四 Char"/>
    <w:qFormat/>
    <w:uiPriority w:val="0"/>
    <w:rPr>
      <w:rFonts w:ascii="宋体" w:hAnsi="宋体" w:cs="Arial"/>
      <w:b/>
      <w:bCs/>
      <w:smallCaps/>
      <w:sz w:val="24"/>
      <w:lang w:val="en-US" w:eastAsia="zh-CN"/>
    </w:rPr>
  </w:style>
  <w:style w:type="character" w:customStyle="1" w:styleId="339">
    <w:name w:val="unnamed21"/>
    <w:qFormat/>
    <w:uiPriority w:val="0"/>
    <w:rPr>
      <w:color w:val="CC6633"/>
      <w:u w:val="none"/>
    </w:rPr>
  </w:style>
  <w:style w:type="character" w:customStyle="1" w:styleId="340">
    <w:name w:val="16"/>
    <w:qFormat/>
    <w:uiPriority w:val="0"/>
    <w:rPr>
      <w:rFonts w:hint="eastAsia" w:ascii="宋体" w:hAnsi="宋体" w:eastAsia="宋体" w:cs="Arial"/>
      <w:b/>
      <w:bCs/>
      <w:smallCaps/>
      <w:kern w:val="2"/>
      <w:sz w:val="24"/>
      <w:szCs w:val="24"/>
    </w:rPr>
  </w:style>
  <w:style w:type="character" w:customStyle="1" w:styleId="341">
    <w:name w:val="正文文本缩进 字符"/>
    <w:qFormat/>
    <w:uiPriority w:val="0"/>
    <w:rPr>
      <w:rFonts w:eastAsia="宋体"/>
      <w:kern w:val="2"/>
      <w:sz w:val="24"/>
      <w:lang w:bidi="ar-SA"/>
    </w:rPr>
  </w:style>
  <w:style w:type="character" w:customStyle="1" w:styleId="342">
    <w:name w:val="Char Char8"/>
    <w:qFormat/>
    <w:uiPriority w:val="0"/>
    <w:rPr>
      <w:rFonts w:hint="default" w:ascii="Calibri" w:hAnsi="Calibri" w:eastAsia="宋体"/>
      <w:kern w:val="2"/>
      <w:sz w:val="21"/>
      <w:szCs w:val="22"/>
      <w:lang w:val="en-US" w:eastAsia="zh-CN" w:bidi="ar-SA"/>
    </w:rPr>
  </w:style>
  <w:style w:type="character" w:customStyle="1" w:styleId="343">
    <w:name w:val="H3 Char1"/>
    <w:qFormat/>
    <w:uiPriority w:val="0"/>
    <w:rPr>
      <w:rFonts w:ascii="仿宋_GB2312" w:eastAsia="仿宋_GB2312"/>
      <w:b/>
      <w:bCs/>
      <w:color w:val="000000"/>
      <w:kern w:val="2"/>
      <w:sz w:val="32"/>
      <w:szCs w:val="32"/>
    </w:rPr>
  </w:style>
  <w:style w:type="character" w:customStyle="1" w:styleId="344">
    <w:name w:val="Char Char1"/>
    <w:qFormat/>
    <w:uiPriority w:val="0"/>
    <w:rPr>
      <w:rFonts w:hint="eastAsia" w:ascii="宋体" w:hAnsi="宋体" w:eastAsia="宋体"/>
      <w:kern w:val="2"/>
      <w:sz w:val="21"/>
      <w:szCs w:val="24"/>
      <w:lang w:val="en-US" w:eastAsia="zh-CN" w:bidi="ar-SA"/>
    </w:rPr>
  </w:style>
  <w:style w:type="character" w:customStyle="1" w:styleId="345">
    <w:name w:val="Char Char10"/>
    <w:qFormat/>
    <w:uiPriority w:val="0"/>
    <w:rPr>
      <w:rFonts w:eastAsia="宋体"/>
      <w:kern w:val="2"/>
      <w:sz w:val="18"/>
      <w:szCs w:val="18"/>
      <w:lang w:val="en-US" w:eastAsia="zh-CN" w:bidi="ar-SA"/>
    </w:rPr>
  </w:style>
  <w:style w:type="character" w:customStyle="1" w:styleId="346">
    <w:name w:val="文档正文 Char"/>
    <w:link w:val="347"/>
    <w:qFormat/>
    <w:uiPriority w:val="0"/>
    <w:rPr>
      <w:rFonts w:ascii="Arial" w:hAnsi="Arial" w:cs="Arial"/>
      <w:bCs/>
      <w:kern w:val="2"/>
      <w:sz w:val="24"/>
      <w:szCs w:val="24"/>
    </w:rPr>
  </w:style>
  <w:style w:type="paragraph" w:customStyle="1" w:styleId="347">
    <w:name w:val="文档正文"/>
    <w:basedOn w:val="1"/>
    <w:link w:val="346"/>
    <w:qFormat/>
    <w:uiPriority w:val="0"/>
    <w:rPr>
      <w:rFonts w:ascii="Arial" w:hAnsi="Arial" w:cs="Arial"/>
      <w:bCs/>
      <w:sz w:val="24"/>
    </w:rPr>
  </w:style>
  <w:style w:type="character" w:customStyle="1" w:styleId="348">
    <w:name w:val="正文文本 2 Char2"/>
    <w:basedOn w:val="52"/>
    <w:semiHidden/>
    <w:qFormat/>
    <w:uiPriority w:val="0"/>
    <w:rPr>
      <w:kern w:val="2"/>
      <w:sz w:val="21"/>
      <w:szCs w:val="24"/>
    </w:rPr>
  </w:style>
  <w:style w:type="character" w:customStyle="1" w:styleId="349">
    <w:name w:val="标题 字符1"/>
    <w:basedOn w:val="52"/>
    <w:qFormat/>
    <w:uiPriority w:val="10"/>
    <w:rPr>
      <w:rFonts w:asciiTheme="majorHAnsi" w:hAnsiTheme="majorHAnsi" w:eastAsiaTheme="majorEastAsia" w:cstheme="majorBidi"/>
      <w:b/>
      <w:bCs/>
      <w:kern w:val="2"/>
      <w:sz w:val="32"/>
      <w:szCs w:val="32"/>
    </w:rPr>
  </w:style>
  <w:style w:type="character" w:customStyle="1" w:styleId="350">
    <w:name w:val="正文首行缩进 2 Char1"/>
    <w:basedOn w:val="75"/>
    <w:qFormat/>
    <w:uiPriority w:val="0"/>
    <w:rPr>
      <w:kern w:val="2"/>
      <w:sz w:val="21"/>
      <w:szCs w:val="24"/>
    </w:rPr>
  </w:style>
  <w:style w:type="character" w:customStyle="1" w:styleId="351">
    <w:name w:val="签名 Char2"/>
    <w:basedOn w:val="52"/>
    <w:semiHidden/>
    <w:qFormat/>
    <w:uiPriority w:val="0"/>
    <w:rPr>
      <w:kern w:val="2"/>
      <w:sz w:val="21"/>
      <w:szCs w:val="24"/>
    </w:rPr>
  </w:style>
  <w:style w:type="character" w:customStyle="1" w:styleId="352">
    <w:name w:val="正文文本缩进 3 Char2"/>
    <w:basedOn w:val="52"/>
    <w:semiHidden/>
    <w:qFormat/>
    <w:uiPriority w:val="0"/>
    <w:rPr>
      <w:kern w:val="2"/>
      <w:sz w:val="16"/>
      <w:szCs w:val="16"/>
    </w:rPr>
  </w:style>
  <w:style w:type="character" w:customStyle="1" w:styleId="353">
    <w:name w:val="日期 Char2"/>
    <w:basedOn w:val="52"/>
    <w:semiHidden/>
    <w:qFormat/>
    <w:uiPriority w:val="0"/>
    <w:rPr>
      <w:kern w:val="2"/>
      <w:sz w:val="21"/>
      <w:szCs w:val="24"/>
    </w:rPr>
  </w:style>
  <w:style w:type="paragraph" w:customStyle="1" w:styleId="354">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7">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8">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9">
    <w:name w:val="Table Heading"/>
    <w:basedOn w:val="1"/>
    <w:qFormat/>
    <w:uiPriority w:val="0"/>
    <w:pPr>
      <w:widowControl/>
      <w:jc w:val="center"/>
    </w:pPr>
    <w:rPr>
      <w:rFonts w:ascii="Arial" w:hAnsi="Arial"/>
      <w:b/>
      <w:kern w:val="0"/>
      <w:sz w:val="18"/>
      <w:szCs w:val="20"/>
    </w:rPr>
  </w:style>
  <w:style w:type="paragraph" w:customStyle="1" w:styleId="360">
    <w:name w:val="4"/>
    <w:basedOn w:val="1"/>
    <w:next w:val="1"/>
    <w:qFormat/>
    <w:uiPriority w:val="0"/>
  </w:style>
  <w:style w:type="paragraph" w:customStyle="1" w:styleId="36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2">
    <w:name w:val="--规划正文"/>
    <w:basedOn w:val="1"/>
    <w:qFormat/>
    <w:uiPriority w:val="0"/>
    <w:pPr>
      <w:spacing w:line="360" w:lineRule="auto"/>
      <w:ind w:firstLine="200" w:firstLineChars="200"/>
    </w:pPr>
    <w:rPr>
      <w:szCs w:val="20"/>
    </w:rPr>
  </w:style>
  <w:style w:type="paragraph" w:customStyle="1" w:styleId="363">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4">
    <w:name w:val="修订1"/>
    <w:qFormat/>
    <w:uiPriority w:val="99"/>
    <w:rPr>
      <w:rFonts w:ascii="Times New Roman" w:hAnsi="Times New Roman" w:eastAsia="宋体" w:cs="Times New Roman"/>
      <w:kern w:val="2"/>
      <w:sz w:val="21"/>
      <w:szCs w:val="22"/>
      <w:lang w:val="en-US" w:eastAsia="zh-CN" w:bidi="ar-SA"/>
    </w:rPr>
  </w:style>
  <w:style w:type="paragraph" w:customStyle="1" w:styleId="365">
    <w:name w:val="样式2"/>
    <w:basedOn w:val="25"/>
    <w:qFormat/>
    <w:uiPriority w:val="0"/>
    <w:pPr>
      <w:tabs>
        <w:tab w:val="right" w:leader="dot" w:pos="9458"/>
      </w:tabs>
    </w:pPr>
    <w:rPr>
      <w:rFonts w:ascii="Arial" w:cs="Arial"/>
      <w:i/>
    </w:rPr>
  </w:style>
  <w:style w:type="paragraph" w:customStyle="1" w:styleId="36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7">
    <w:name w:val="l2"/>
    <w:basedOn w:val="1"/>
    <w:qFormat/>
    <w:uiPriority w:val="0"/>
    <w:pPr>
      <w:keepLines/>
      <w:widowControl/>
      <w:spacing w:beforeLines="50" w:afterLines="50" w:line="300" w:lineRule="auto"/>
    </w:pPr>
    <w:rPr>
      <w:rFonts w:ascii="Arial" w:hAnsi="Arial"/>
      <w:bCs/>
    </w:rPr>
  </w:style>
  <w:style w:type="paragraph" w:customStyle="1" w:styleId="368">
    <w:name w:val="样式5"/>
    <w:basedOn w:val="369"/>
    <w:next w:val="369"/>
    <w:qFormat/>
    <w:uiPriority w:val="0"/>
    <w:pPr>
      <w:tabs>
        <w:tab w:val="right" w:leader="dot" w:pos="9458"/>
      </w:tabs>
    </w:pPr>
  </w:style>
  <w:style w:type="paragraph" w:customStyle="1" w:styleId="369">
    <w:name w:val="样式4"/>
    <w:basedOn w:val="34"/>
    <w:qFormat/>
    <w:uiPriority w:val="0"/>
    <w:pPr>
      <w:tabs>
        <w:tab w:val="right" w:leader="dot" w:pos="9458"/>
      </w:tabs>
    </w:pPr>
    <w:rPr>
      <w:b w:val="0"/>
    </w:rPr>
  </w:style>
  <w:style w:type="paragraph" w:customStyle="1" w:styleId="370">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2">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Table Body"/>
    <w:basedOn w:val="1"/>
    <w:qFormat/>
    <w:uiPriority w:val="0"/>
    <w:pPr>
      <w:widowControl/>
      <w:jc w:val="center"/>
    </w:pPr>
    <w:rPr>
      <w:rFonts w:ascii="Arial" w:hAnsi="Arial"/>
      <w:snapToGrid w:val="0"/>
      <w:kern w:val="0"/>
      <w:sz w:val="18"/>
      <w:szCs w:val="20"/>
    </w:rPr>
  </w:style>
  <w:style w:type="paragraph" w:customStyle="1" w:styleId="375">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6">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8">
    <w:name w:val="签名 - 公司"/>
    <w:basedOn w:val="33"/>
    <w:next w:val="379"/>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9">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8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3">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4">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5">
    <w:name w:val="正文缩进1"/>
    <w:basedOn w:val="1"/>
    <w:qFormat/>
    <w:uiPriority w:val="0"/>
    <w:pPr>
      <w:ind w:firstLine="567"/>
    </w:pPr>
    <w:rPr>
      <w:spacing w:val="20"/>
      <w:sz w:val="24"/>
      <w:szCs w:val="20"/>
    </w:rPr>
  </w:style>
  <w:style w:type="paragraph" w:customStyle="1" w:styleId="386">
    <w:name w:val="_正文"/>
    <w:basedOn w:val="1"/>
    <w:qFormat/>
    <w:uiPriority w:val="99"/>
    <w:pPr>
      <w:spacing w:line="360" w:lineRule="auto"/>
      <w:ind w:firstLine="200" w:firstLineChars="200"/>
    </w:pPr>
    <w:rPr>
      <w:rFonts w:ascii="宋体" w:hAnsi="宋体"/>
      <w:sz w:val="24"/>
    </w:rPr>
  </w:style>
  <w:style w:type="paragraph" w:customStyle="1" w:styleId="387">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8">
    <w:name w:val="列出段落6"/>
    <w:basedOn w:val="1"/>
    <w:qFormat/>
    <w:uiPriority w:val="0"/>
    <w:pPr>
      <w:ind w:firstLine="420" w:firstLineChars="200"/>
    </w:pPr>
    <w:rPr>
      <w:rFonts w:ascii="仿宋_GB2312" w:eastAsia="仿宋_GB2312" w:cs="宋体"/>
      <w:spacing w:val="6"/>
      <w:sz w:val="30"/>
      <w:szCs w:val="30"/>
    </w:rPr>
  </w:style>
  <w:style w:type="paragraph" w:customStyle="1" w:styleId="389">
    <w:name w:val="_Style 15"/>
    <w:basedOn w:val="1"/>
    <w:qFormat/>
    <w:uiPriority w:val="0"/>
  </w:style>
  <w:style w:type="paragraph" w:customStyle="1" w:styleId="39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1">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3">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4">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5">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7">
    <w:name w:val="样式"/>
    <w:basedOn w:val="1"/>
    <w:next w:val="22"/>
    <w:qFormat/>
    <w:uiPriority w:val="0"/>
    <w:pPr>
      <w:ind w:left="572" w:right="32" w:firstLine="478"/>
    </w:pPr>
    <w:rPr>
      <w:szCs w:val="21"/>
    </w:rPr>
  </w:style>
  <w:style w:type="paragraph" w:customStyle="1" w:styleId="398">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9">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400">
    <w:name w:val="图表"/>
    <w:basedOn w:val="1"/>
    <w:qFormat/>
    <w:uiPriority w:val="0"/>
    <w:pPr>
      <w:spacing w:line="360" w:lineRule="auto"/>
      <w:ind w:hanging="420"/>
      <w:jc w:val="center"/>
    </w:pPr>
    <w:rPr>
      <w:sz w:val="24"/>
      <w:szCs w:val="20"/>
    </w:rPr>
  </w:style>
  <w:style w:type="paragraph" w:customStyle="1" w:styleId="401">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2">
    <w:name w:val="正文_0"/>
    <w:basedOn w:val="1"/>
    <w:qFormat/>
    <w:uiPriority w:val="0"/>
  </w:style>
  <w:style w:type="paragraph" w:customStyle="1" w:styleId="403">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4">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5">
    <w:name w:val="简单回函地址"/>
    <w:basedOn w:val="1"/>
    <w:qFormat/>
    <w:uiPriority w:val="0"/>
  </w:style>
  <w:style w:type="paragraph" w:customStyle="1" w:styleId="40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7">
    <w:name w:val="样式3"/>
    <w:basedOn w:val="25"/>
    <w:qFormat/>
    <w:uiPriority w:val="0"/>
    <w:pPr>
      <w:tabs>
        <w:tab w:val="right" w:leader="dot" w:pos="9458"/>
      </w:tabs>
    </w:pPr>
    <w:rPr>
      <w:i/>
    </w:rPr>
  </w:style>
  <w:style w:type="paragraph" w:customStyle="1" w:styleId="408">
    <w:name w:val="msolistparagraph"/>
    <w:basedOn w:val="1"/>
    <w:qFormat/>
    <w:uiPriority w:val="0"/>
    <w:pPr>
      <w:ind w:firstLine="420" w:firstLineChars="200"/>
    </w:pPr>
    <w:rPr>
      <w:rFonts w:ascii="Calibri" w:hAnsi="Calibri"/>
      <w:szCs w:val="22"/>
    </w:rPr>
  </w:style>
  <w:style w:type="paragraph" w:customStyle="1" w:styleId="409">
    <w:name w:val="Char Char16 Char Char"/>
    <w:basedOn w:val="1"/>
    <w:qFormat/>
    <w:uiPriority w:val="0"/>
    <w:rPr>
      <w:rFonts w:ascii="Tahoma" w:hAnsi="Tahoma"/>
      <w:sz w:val="24"/>
      <w:szCs w:val="20"/>
    </w:rPr>
  </w:style>
  <w:style w:type="paragraph" w:customStyle="1" w:styleId="410">
    <w:name w:val="正文内容"/>
    <w:basedOn w:val="1"/>
    <w:qFormat/>
    <w:uiPriority w:val="0"/>
    <w:rPr>
      <w:rFonts w:ascii="Arial" w:hAnsi="Arial"/>
      <w:spacing w:val="-12"/>
      <w:szCs w:val="20"/>
    </w:rPr>
  </w:style>
  <w:style w:type="paragraph" w:customStyle="1" w:styleId="41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2">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3">
    <w:name w:val="WPSOffice手动目录 1"/>
    <w:qFormat/>
    <w:uiPriority w:val="0"/>
    <w:rPr>
      <w:rFonts w:ascii="Times New Roman" w:hAnsi="Times New Roman" w:eastAsia="宋体" w:cs="Times New Roman"/>
      <w:lang w:val="en-US" w:eastAsia="zh-CN" w:bidi="ar-SA"/>
    </w:rPr>
  </w:style>
  <w:style w:type="paragraph" w:customStyle="1" w:styleId="41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5">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7">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9">
    <w:name w:val="Char1 Char Char Char Char Char Char Char Char"/>
    <w:basedOn w:val="1"/>
    <w:qFormat/>
    <w:uiPriority w:val="0"/>
  </w:style>
  <w:style w:type="paragraph" w:customStyle="1" w:styleId="420">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1">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2">
    <w:name w:val="标题5"/>
    <w:basedOn w:val="1"/>
    <w:qFormat/>
    <w:uiPriority w:val="0"/>
    <w:pPr>
      <w:spacing w:before="120" w:after="120"/>
    </w:pPr>
    <w:rPr>
      <w:rFonts w:ascii="宋体"/>
      <w:b/>
      <w:sz w:val="28"/>
    </w:rPr>
  </w:style>
  <w:style w:type="paragraph" w:customStyle="1" w:styleId="42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4">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6">
    <w:name w:val="Char4"/>
    <w:basedOn w:val="1"/>
    <w:qFormat/>
    <w:uiPriority w:val="0"/>
    <w:pPr>
      <w:ind w:left="980" w:hanging="420"/>
    </w:pPr>
    <w:rPr>
      <w:sz w:val="24"/>
    </w:rPr>
  </w:style>
  <w:style w:type="paragraph" w:customStyle="1" w:styleId="427">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8">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9">
    <w:name w:val="样式 首行缩进:  0.85 厘米"/>
    <w:basedOn w:val="1"/>
    <w:qFormat/>
    <w:uiPriority w:val="0"/>
    <w:pPr>
      <w:ind w:firstLine="480" w:firstLineChars="200"/>
    </w:pPr>
    <w:rPr>
      <w:rFonts w:cs="宋体"/>
      <w:szCs w:val="20"/>
    </w:rPr>
  </w:style>
  <w:style w:type="paragraph" w:customStyle="1" w:styleId="430">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2">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3">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4">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7">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8">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4">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5">
    <w:name w:val="列出段落 Char"/>
    <w:link w:val="456"/>
    <w:qFormat/>
    <w:uiPriority w:val="34"/>
    <w:rPr>
      <w:kern w:val="2"/>
      <w:sz w:val="21"/>
      <w:szCs w:val="24"/>
    </w:rPr>
  </w:style>
  <w:style w:type="paragraph" w:styleId="456">
    <w:name w:val="List Paragraph"/>
    <w:basedOn w:val="1"/>
    <w:link w:val="455"/>
    <w:qFormat/>
    <w:uiPriority w:val="34"/>
    <w:pPr>
      <w:ind w:firstLine="420" w:firstLineChars="200"/>
    </w:pPr>
  </w:style>
  <w:style w:type="paragraph" w:customStyle="1" w:styleId="457">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8">
    <w:name w:val="评价"/>
    <w:basedOn w:val="1"/>
    <w:qFormat/>
    <w:uiPriority w:val="0"/>
    <w:pPr>
      <w:spacing w:afterLines="20"/>
      <w:ind w:firstLine="1446" w:firstLineChars="200"/>
    </w:pPr>
    <w:rPr>
      <w:rFonts w:ascii="Calibri" w:hAnsi="Calibri"/>
      <w:sz w:val="24"/>
    </w:rPr>
  </w:style>
  <w:style w:type="character" w:customStyle="1" w:styleId="459">
    <w:name w:val="正文文本 3 Char"/>
    <w:basedOn w:val="52"/>
    <w:link w:val="20"/>
    <w:qFormat/>
    <w:uiPriority w:val="0"/>
    <w:rPr>
      <w:kern w:val="2"/>
      <w:sz w:val="16"/>
      <w:szCs w:val="16"/>
    </w:rPr>
  </w:style>
  <w:style w:type="character" w:customStyle="1" w:styleId="460">
    <w:name w:val="content"/>
    <w:basedOn w:val="52"/>
    <w:qFormat/>
    <w:uiPriority w:val="0"/>
  </w:style>
  <w:style w:type="character" w:customStyle="1" w:styleId="461">
    <w:name w:val="ca-3"/>
    <w:basedOn w:val="52"/>
    <w:qFormat/>
    <w:uiPriority w:val="0"/>
  </w:style>
  <w:style w:type="character" w:customStyle="1" w:styleId="462">
    <w:name w:val="textcontents1"/>
    <w:qFormat/>
    <w:uiPriority w:val="0"/>
    <w:rPr>
      <w:rFonts w:hint="default" w:ascii="ˎ̥" w:hAnsi="ˎ̥"/>
      <w:sz w:val="21"/>
      <w:szCs w:val="21"/>
    </w:rPr>
  </w:style>
  <w:style w:type="character" w:customStyle="1" w:styleId="463">
    <w:name w:val="脚注文本 Char1"/>
    <w:qFormat/>
    <w:uiPriority w:val="0"/>
    <w:rPr>
      <w:kern w:val="2"/>
      <w:sz w:val="18"/>
      <w:szCs w:val="18"/>
    </w:rPr>
  </w:style>
  <w:style w:type="character" w:customStyle="1" w:styleId="464">
    <w:name w:val="脚注文本 Char"/>
    <w:link w:val="38"/>
    <w:qFormat/>
    <w:uiPriority w:val="0"/>
    <w:rPr>
      <w:kern w:val="2"/>
      <w:sz w:val="18"/>
      <w:szCs w:val="18"/>
    </w:rPr>
  </w:style>
  <w:style w:type="character" w:customStyle="1" w:styleId="465">
    <w:name w:val="正文首行缩进（绿盟科技） Char"/>
    <w:link w:val="466"/>
    <w:qFormat/>
    <w:uiPriority w:val="0"/>
    <w:rPr>
      <w:rFonts w:ascii="Arial" w:hAnsi="Arial"/>
      <w:szCs w:val="21"/>
    </w:rPr>
  </w:style>
  <w:style w:type="paragraph" w:customStyle="1" w:styleId="466">
    <w:name w:val="正文首行缩进（绿盟科技）"/>
    <w:basedOn w:val="1"/>
    <w:link w:val="465"/>
    <w:qFormat/>
    <w:uiPriority w:val="0"/>
    <w:pPr>
      <w:widowControl/>
      <w:spacing w:after="50" w:line="300" w:lineRule="auto"/>
      <w:ind w:firstLine="200" w:firstLineChars="200"/>
      <w:jc w:val="left"/>
    </w:pPr>
    <w:rPr>
      <w:rFonts w:ascii="Arial" w:hAnsi="Arial"/>
      <w:kern w:val="0"/>
      <w:sz w:val="20"/>
      <w:szCs w:val="21"/>
    </w:rPr>
  </w:style>
  <w:style w:type="character" w:customStyle="1" w:styleId="467">
    <w:name w:val="c lh15"/>
    <w:basedOn w:val="52"/>
    <w:qFormat/>
    <w:uiPriority w:val="0"/>
  </w:style>
  <w:style w:type="character" w:customStyle="1" w:styleId="468">
    <w:name w:val="Char Char21"/>
    <w:qFormat/>
    <w:uiPriority w:val="0"/>
    <w:rPr>
      <w:b/>
      <w:bCs/>
      <w:kern w:val="2"/>
      <w:sz w:val="32"/>
      <w:szCs w:val="32"/>
    </w:rPr>
  </w:style>
  <w:style w:type="character" w:customStyle="1" w:styleId="469">
    <w:name w:val="content1"/>
    <w:qFormat/>
    <w:uiPriority w:val="0"/>
    <w:rPr>
      <w:rFonts w:hint="default" w:ascii="??" w:hAnsi="??"/>
      <w:sz w:val="16"/>
      <w:szCs w:val="16"/>
      <w:u w:val="none"/>
    </w:rPr>
  </w:style>
  <w:style w:type="character" w:customStyle="1" w:styleId="470">
    <w:name w:val="text21"/>
    <w:basedOn w:val="52"/>
    <w:qFormat/>
    <w:uiPriority w:val="0"/>
  </w:style>
  <w:style w:type="character" w:customStyle="1" w:styleId="471">
    <w:name w:val="apple-style-span"/>
    <w:basedOn w:val="52"/>
    <w:qFormat/>
    <w:uiPriority w:val="0"/>
  </w:style>
  <w:style w:type="paragraph" w:customStyle="1" w:styleId="472">
    <w:name w:val="缺省文本"/>
    <w:basedOn w:val="1"/>
    <w:qFormat/>
    <w:uiPriority w:val="0"/>
    <w:pPr>
      <w:autoSpaceDE w:val="0"/>
      <w:autoSpaceDN w:val="0"/>
      <w:adjustRightInd w:val="0"/>
      <w:jc w:val="left"/>
    </w:pPr>
    <w:rPr>
      <w:kern w:val="0"/>
      <w:sz w:val="24"/>
    </w:rPr>
  </w:style>
  <w:style w:type="paragraph" w:customStyle="1" w:styleId="473">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4">
    <w:name w:val="1"/>
    <w:basedOn w:val="1"/>
    <w:next w:val="26"/>
    <w:qFormat/>
    <w:uiPriority w:val="0"/>
    <w:rPr>
      <w:rFonts w:ascii="宋体" w:hAnsi="Courier New"/>
      <w:szCs w:val="20"/>
    </w:rPr>
  </w:style>
  <w:style w:type="paragraph" w:customStyle="1" w:styleId="475">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6">
    <w:name w:val="Char Char Char Char Char Char Char1"/>
    <w:basedOn w:val="1"/>
    <w:qFormat/>
    <w:uiPriority w:val="0"/>
    <w:pPr>
      <w:widowControl/>
      <w:spacing w:after="160" w:line="240" w:lineRule="exact"/>
      <w:jc w:val="left"/>
    </w:pPr>
  </w:style>
  <w:style w:type="paragraph" w:customStyle="1" w:styleId="477">
    <w:name w:val="USE 1"/>
    <w:basedOn w:val="1"/>
    <w:qFormat/>
    <w:uiPriority w:val="0"/>
    <w:pPr>
      <w:spacing w:line="200" w:lineRule="atLeast"/>
      <w:jc w:val="left"/>
    </w:pPr>
    <w:rPr>
      <w:rFonts w:ascii="宋体" w:hAnsi="宋体"/>
      <w:b/>
      <w:sz w:val="24"/>
      <w:szCs w:val="28"/>
    </w:rPr>
  </w:style>
  <w:style w:type="paragraph" w:customStyle="1" w:styleId="47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9">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0">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1">
    <w:name w:val="_Style 54"/>
    <w:basedOn w:val="1"/>
    <w:next w:val="26"/>
    <w:qFormat/>
    <w:uiPriority w:val="0"/>
    <w:rPr>
      <w:rFonts w:ascii="宋体" w:hAnsi="Courier New"/>
      <w:szCs w:val="20"/>
    </w:rPr>
  </w:style>
  <w:style w:type="character" w:customStyle="1" w:styleId="482">
    <w:name w:val="脚注文本 Char2"/>
    <w:basedOn w:val="52"/>
    <w:semiHidden/>
    <w:qFormat/>
    <w:uiPriority w:val="0"/>
    <w:rPr>
      <w:kern w:val="2"/>
      <w:sz w:val="18"/>
      <w:szCs w:val="18"/>
    </w:rPr>
  </w:style>
  <w:style w:type="paragraph" w:customStyle="1" w:styleId="483">
    <w:name w:val="_Style 56"/>
    <w:basedOn w:val="1"/>
    <w:next w:val="26"/>
    <w:qFormat/>
    <w:uiPriority w:val="0"/>
    <w:rPr>
      <w:rFonts w:ascii="宋体" w:hAnsi="Courier New"/>
      <w:szCs w:val="20"/>
    </w:rPr>
  </w:style>
  <w:style w:type="paragraph" w:customStyle="1" w:styleId="484">
    <w:name w:val="Char Char Char Char2"/>
    <w:basedOn w:val="1"/>
    <w:qFormat/>
    <w:uiPriority w:val="0"/>
    <w:pPr>
      <w:widowControl/>
      <w:spacing w:after="160" w:line="240" w:lineRule="exact"/>
      <w:jc w:val="center"/>
    </w:pPr>
  </w:style>
  <w:style w:type="paragraph" w:customStyle="1" w:styleId="485">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6">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7">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8">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9">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90">
    <w:name w:val="Char2 Char Char Char Char Char Char"/>
    <w:basedOn w:val="1"/>
    <w:qFormat/>
    <w:uiPriority w:val="0"/>
    <w:pPr>
      <w:widowControl/>
      <w:spacing w:after="160" w:line="240" w:lineRule="exact"/>
      <w:jc w:val="left"/>
    </w:pPr>
  </w:style>
  <w:style w:type="paragraph" w:customStyle="1" w:styleId="491">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3">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4">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5">
    <w:name w:val="5"/>
    <w:basedOn w:val="1"/>
    <w:next w:val="26"/>
    <w:qFormat/>
    <w:uiPriority w:val="0"/>
    <w:rPr>
      <w:rFonts w:ascii="宋体" w:hAnsi="Courier New"/>
      <w:szCs w:val="20"/>
    </w:rPr>
  </w:style>
  <w:style w:type="paragraph" w:customStyle="1" w:styleId="496">
    <w:name w:val="Char Char Char"/>
    <w:basedOn w:val="1"/>
    <w:qFormat/>
    <w:uiPriority w:val="0"/>
    <w:rPr>
      <w:szCs w:val="20"/>
    </w:rPr>
  </w:style>
  <w:style w:type="paragraph" w:customStyle="1" w:styleId="497">
    <w:name w:val="Char2"/>
    <w:basedOn w:val="1"/>
    <w:qFormat/>
    <w:uiPriority w:val="0"/>
    <w:rPr>
      <w:rFonts w:ascii="Tahoma" w:hAnsi="Tahoma"/>
      <w:sz w:val="24"/>
      <w:szCs w:val="20"/>
    </w:rPr>
  </w:style>
  <w:style w:type="paragraph" w:customStyle="1" w:styleId="498">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9">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50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1">
    <w:name w:val="6"/>
    <w:basedOn w:val="1"/>
    <w:next w:val="26"/>
    <w:qFormat/>
    <w:uiPriority w:val="0"/>
    <w:rPr>
      <w:rFonts w:ascii="宋体" w:hAnsi="Courier New"/>
      <w:szCs w:val="20"/>
    </w:rPr>
  </w:style>
  <w:style w:type="paragraph" w:customStyle="1" w:styleId="502">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3">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4">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6">
    <w:name w:val="纯文本 Char2"/>
    <w:qFormat/>
    <w:uiPriority w:val="99"/>
    <w:rPr>
      <w:rFonts w:ascii="宋体" w:hAnsi="Courier New"/>
      <w:kern w:val="2"/>
      <w:sz w:val="21"/>
    </w:rPr>
  </w:style>
  <w:style w:type="character" w:customStyle="1" w:styleId="507">
    <w:name w:val="正文缩进 字符1"/>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5C980-14EF-4BFC-BDDF-F6549B74D28C}">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78</Pages>
  <Words>48135</Words>
  <Characters>51367</Characters>
  <Lines>411</Lines>
  <Paragraphs>115</Paragraphs>
  <TotalTime>11</TotalTime>
  <ScaleCrop>false</ScaleCrop>
  <LinksUpToDate>false</LinksUpToDate>
  <CharactersWithSpaces>53830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是创不是灿</cp:lastModifiedBy>
  <cp:lastPrinted>2020-05-26T01:03:00Z</cp:lastPrinted>
  <dcterms:modified xsi:type="dcterms:W3CDTF">2023-03-22T01:13:23Z</dcterms:modified>
  <dc:title>招标编号：UHO2010-G0029</dc:title>
  <cp:revision>562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260AB5C22C9F4929A222B64CF923FFD9</vt:lpwstr>
  </property>
</Properties>
</file>